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D1844" w:rsidRDefault="00000000">
      <w:pPr>
        <w:rPr>
          <w:rFonts w:ascii="Karla" w:eastAsia="Karla" w:hAnsi="Karla" w:cs="Karla"/>
          <w:sz w:val="26"/>
          <w:szCs w:val="26"/>
        </w:rPr>
      </w:pPr>
      <w:r>
        <w:rPr>
          <w:rFonts w:ascii="Karla" w:eastAsia="Karla" w:hAnsi="Karla" w:cs="Karla"/>
          <w:sz w:val="26"/>
          <w:szCs w:val="26"/>
        </w:rPr>
        <w:t>January 19, 2026</w:t>
      </w:r>
    </w:p>
    <w:p w14:paraId="00000002" w14:textId="77777777" w:rsidR="003D1844" w:rsidRDefault="00000000">
      <w:pPr>
        <w:numPr>
          <w:ilvl w:val="0"/>
          <w:numId w:val="8"/>
        </w:numPr>
        <w:rPr>
          <w:rFonts w:ascii="Calibri" w:eastAsia="Calibri" w:hAnsi="Calibri" w:cs="Calibri"/>
        </w:rPr>
      </w:pPr>
      <w:r>
        <w:rPr>
          <w:rFonts w:ascii="Calibri" w:eastAsia="Calibri" w:hAnsi="Calibri" w:cs="Calibri"/>
        </w:rPr>
        <w:t>Signed up for CYSF.</w:t>
      </w:r>
    </w:p>
    <w:p w14:paraId="00000003" w14:textId="77777777" w:rsidR="003D1844" w:rsidRDefault="00000000">
      <w:pPr>
        <w:numPr>
          <w:ilvl w:val="0"/>
          <w:numId w:val="8"/>
        </w:numPr>
        <w:rPr>
          <w:rFonts w:ascii="Calibri" w:eastAsia="Calibri" w:hAnsi="Calibri" w:cs="Calibri"/>
        </w:rPr>
      </w:pPr>
      <w:r>
        <w:rPr>
          <w:rFonts w:ascii="Calibri" w:eastAsia="Calibri" w:hAnsi="Calibri" w:cs="Calibri"/>
        </w:rPr>
        <w:t>I attended the science fair club meeting.</w:t>
      </w:r>
    </w:p>
    <w:p w14:paraId="00000004" w14:textId="77777777" w:rsidR="003D1844" w:rsidRDefault="003D1844">
      <w:pPr>
        <w:rPr>
          <w:rFonts w:ascii="Calibri" w:eastAsia="Calibri" w:hAnsi="Calibri" w:cs="Calibri"/>
        </w:rPr>
      </w:pPr>
    </w:p>
    <w:p w14:paraId="00000005" w14:textId="77777777" w:rsidR="003D1844" w:rsidRDefault="00000000">
      <w:pPr>
        <w:rPr>
          <w:rFonts w:ascii="Karla" w:eastAsia="Karla" w:hAnsi="Karla" w:cs="Karla"/>
          <w:sz w:val="26"/>
          <w:szCs w:val="26"/>
        </w:rPr>
      </w:pPr>
      <w:r>
        <w:rPr>
          <w:rFonts w:ascii="Karla" w:eastAsia="Karla" w:hAnsi="Karla" w:cs="Karla"/>
          <w:sz w:val="26"/>
          <w:szCs w:val="26"/>
        </w:rPr>
        <w:t>January 20, 21, 22, 23, 2026</w:t>
      </w:r>
    </w:p>
    <w:p w14:paraId="00000006" w14:textId="77777777" w:rsidR="003D1844" w:rsidRDefault="00000000">
      <w:pPr>
        <w:rPr>
          <w:rFonts w:ascii="Calibri" w:eastAsia="Calibri" w:hAnsi="Calibri" w:cs="Calibri"/>
        </w:rPr>
      </w:pPr>
      <w:r>
        <w:rPr>
          <w:rFonts w:ascii="Calibri" w:eastAsia="Calibri" w:hAnsi="Calibri" w:cs="Calibri"/>
        </w:rPr>
        <w:t xml:space="preserve">I came up with a plethora of ideas I could use for the science fair- </w:t>
      </w:r>
    </w:p>
    <w:p w14:paraId="00000007" w14:textId="77777777" w:rsidR="003D1844" w:rsidRDefault="00000000">
      <w:pPr>
        <w:rPr>
          <w:rFonts w:ascii="Calibri" w:eastAsia="Calibri" w:hAnsi="Calibri" w:cs="Calibri"/>
        </w:rPr>
      </w:pPr>
      <w:r>
        <w:rPr>
          <w:rFonts w:ascii="Calibri" w:eastAsia="Calibri" w:hAnsi="Calibri" w:cs="Calibri"/>
        </w:rPr>
        <w:t xml:space="preserve">ideas for science fair: </w:t>
      </w:r>
    </w:p>
    <w:p w14:paraId="00000008" w14:textId="77777777" w:rsidR="003D1844" w:rsidRDefault="00000000">
      <w:pPr>
        <w:numPr>
          <w:ilvl w:val="0"/>
          <w:numId w:val="8"/>
        </w:numPr>
        <w:rPr>
          <w:rFonts w:ascii="Calibri" w:eastAsia="Calibri" w:hAnsi="Calibri" w:cs="Calibri"/>
        </w:rPr>
      </w:pPr>
      <w:r>
        <w:rPr>
          <w:rFonts w:ascii="Calibri" w:eastAsia="Calibri" w:hAnsi="Calibri" w:cs="Calibri"/>
        </w:rPr>
        <w:t>- psychological effects of social media</w:t>
      </w:r>
    </w:p>
    <w:p w14:paraId="00000009" w14:textId="77777777" w:rsidR="003D1844" w:rsidRDefault="00000000">
      <w:pPr>
        <w:numPr>
          <w:ilvl w:val="0"/>
          <w:numId w:val="8"/>
        </w:numPr>
        <w:rPr>
          <w:rFonts w:ascii="Calibri" w:eastAsia="Calibri" w:hAnsi="Calibri" w:cs="Calibri"/>
        </w:rPr>
      </w:pPr>
      <w:r>
        <w:rPr>
          <w:rFonts w:ascii="Calibri" w:eastAsia="Calibri" w:hAnsi="Calibri" w:cs="Calibri"/>
        </w:rPr>
        <w:t xml:space="preserve">- psychological effects of grades to one’s self esteem and confidence </w:t>
      </w:r>
    </w:p>
    <w:p w14:paraId="0000000A" w14:textId="77777777" w:rsidR="003D1844" w:rsidRDefault="00000000">
      <w:pPr>
        <w:numPr>
          <w:ilvl w:val="0"/>
          <w:numId w:val="8"/>
        </w:numPr>
        <w:rPr>
          <w:rFonts w:ascii="Calibri" w:eastAsia="Calibri" w:hAnsi="Calibri" w:cs="Calibri"/>
        </w:rPr>
      </w:pPr>
      <w:r>
        <w:rPr>
          <w:rFonts w:ascii="Calibri" w:eastAsia="Calibri" w:hAnsi="Calibri" w:cs="Calibri"/>
        </w:rPr>
        <w:t>- how people gain the fears they have (of the dark, of monsters, etc.)</w:t>
      </w:r>
    </w:p>
    <w:p w14:paraId="0000000B" w14:textId="77777777" w:rsidR="003D1844" w:rsidRDefault="00000000">
      <w:pPr>
        <w:numPr>
          <w:ilvl w:val="0"/>
          <w:numId w:val="8"/>
        </w:numPr>
        <w:rPr>
          <w:rFonts w:ascii="Calibri" w:eastAsia="Calibri" w:hAnsi="Calibri" w:cs="Calibri"/>
        </w:rPr>
      </w:pPr>
      <w:r>
        <w:rPr>
          <w:rFonts w:ascii="Calibri" w:eastAsia="Calibri" w:hAnsi="Calibri" w:cs="Calibri"/>
        </w:rPr>
        <w:t xml:space="preserve">- effects of AI on people psychologically </w:t>
      </w:r>
    </w:p>
    <w:p w14:paraId="0000000C" w14:textId="77777777" w:rsidR="003D1844" w:rsidRDefault="00000000">
      <w:pPr>
        <w:numPr>
          <w:ilvl w:val="0"/>
          <w:numId w:val="8"/>
        </w:numPr>
        <w:rPr>
          <w:rFonts w:ascii="Calibri" w:eastAsia="Calibri" w:hAnsi="Calibri" w:cs="Calibri"/>
        </w:rPr>
      </w:pPr>
      <w:r>
        <w:rPr>
          <w:rFonts w:ascii="Calibri" w:eastAsia="Calibri" w:hAnsi="Calibri" w:cs="Calibri"/>
        </w:rPr>
        <w:t xml:space="preserve">- body language of people in different situations (ex. how people behave when they are lying) </w:t>
      </w:r>
    </w:p>
    <w:p w14:paraId="0000000D" w14:textId="77777777" w:rsidR="003D1844" w:rsidRDefault="00000000">
      <w:pPr>
        <w:numPr>
          <w:ilvl w:val="0"/>
          <w:numId w:val="8"/>
        </w:numPr>
        <w:rPr>
          <w:rFonts w:ascii="Calibri" w:eastAsia="Calibri" w:hAnsi="Calibri" w:cs="Calibri"/>
        </w:rPr>
      </w:pPr>
      <w:r>
        <w:rPr>
          <w:rFonts w:ascii="Calibri" w:eastAsia="Calibri" w:hAnsi="Calibri" w:cs="Calibri"/>
        </w:rPr>
        <w:t xml:space="preserve">- how different courses (or any significant choice people make for themselves) people experience can affect they way they think or view things </w:t>
      </w:r>
    </w:p>
    <w:p w14:paraId="0000000E" w14:textId="77777777" w:rsidR="003D1844" w:rsidRDefault="00000000">
      <w:pPr>
        <w:numPr>
          <w:ilvl w:val="0"/>
          <w:numId w:val="8"/>
        </w:numPr>
        <w:rPr>
          <w:rFonts w:ascii="Calibri" w:eastAsia="Calibri" w:hAnsi="Calibri" w:cs="Calibri"/>
        </w:rPr>
      </w:pPr>
      <w:r>
        <w:rPr>
          <w:rFonts w:ascii="Calibri" w:eastAsia="Calibri" w:hAnsi="Calibri" w:cs="Calibri"/>
        </w:rPr>
        <w:t>- sampling soil in different areas to see the difference in quality (???) / if different areas with different soil qualities can decompose materials at different rates (??)</w:t>
      </w:r>
    </w:p>
    <w:p w14:paraId="0000000F" w14:textId="77777777" w:rsidR="003D1844" w:rsidRDefault="00000000">
      <w:pPr>
        <w:numPr>
          <w:ilvl w:val="0"/>
          <w:numId w:val="8"/>
        </w:numPr>
        <w:rPr>
          <w:rFonts w:ascii="Calibri" w:eastAsia="Calibri" w:hAnsi="Calibri" w:cs="Calibri"/>
        </w:rPr>
      </w:pPr>
      <w:r>
        <w:rPr>
          <w:rFonts w:ascii="Calibri" w:eastAsia="Calibri" w:hAnsi="Calibri" w:cs="Calibri"/>
        </w:rPr>
        <w:t>- how traffic lights (and other indicators)  can affect how people drive</w:t>
      </w:r>
    </w:p>
    <w:p w14:paraId="00000010" w14:textId="77777777" w:rsidR="003D1844" w:rsidRDefault="00000000">
      <w:pPr>
        <w:numPr>
          <w:ilvl w:val="0"/>
          <w:numId w:val="8"/>
        </w:numPr>
        <w:rPr>
          <w:rFonts w:ascii="Calibri" w:eastAsia="Calibri" w:hAnsi="Calibri" w:cs="Calibri"/>
        </w:rPr>
      </w:pPr>
      <w:r>
        <w:rPr>
          <w:rFonts w:ascii="Calibri" w:eastAsia="Calibri" w:hAnsi="Calibri" w:cs="Calibri"/>
        </w:rPr>
        <w:t>- how does the environment/material (food) affect mold growth</w:t>
      </w:r>
    </w:p>
    <w:p w14:paraId="00000011" w14:textId="77777777" w:rsidR="003D1844" w:rsidRDefault="00000000">
      <w:pPr>
        <w:numPr>
          <w:ilvl w:val="0"/>
          <w:numId w:val="8"/>
        </w:numPr>
        <w:rPr>
          <w:rFonts w:ascii="Calibri" w:eastAsia="Calibri" w:hAnsi="Calibri" w:cs="Calibri"/>
        </w:rPr>
      </w:pPr>
      <w:r>
        <w:rPr>
          <w:rFonts w:ascii="Calibri" w:eastAsia="Calibri" w:hAnsi="Calibri" w:cs="Calibri"/>
        </w:rPr>
        <w:t xml:space="preserve">- how psychopaths, sociopaths, and narcissists think, behave, and differ, how they react, how they grew up and what caused them to become the way they are </w:t>
      </w:r>
    </w:p>
    <w:p w14:paraId="00000012" w14:textId="77777777" w:rsidR="003D1844" w:rsidRDefault="00000000">
      <w:pPr>
        <w:numPr>
          <w:ilvl w:val="0"/>
          <w:numId w:val="8"/>
        </w:numPr>
        <w:rPr>
          <w:rFonts w:ascii="Calibri" w:eastAsia="Calibri" w:hAnsi="Calibri" w:cs="Calibri"/>
        </w:rPr>
      </w:pPr>
      <w:r>
        <w:rPr>
          <w:rFonts w:ascii="Calibri" w:eastAsia="Calibri" w:hAnsi="Calibri" w:cs="Calibri"/>
        </w:rPr>
        <w:t>- anything related to neurotransmitters; neurons and how they affect brian chemistry and the cognitive functions of the mind and/or if there is a way to artificially regulate or adjust the chemistry in one’s mind</w:t>
      </w:r>
    </w:p>
    <w:p w14:paraId="00000013" w14:textId="77777777" w:rsidR="003D1844" w:rsidRDefault="00000000">
      <w:pPr>
        <w:numPr>
          <w:ilvl w:val="0"/>
          <w:numId w:val="8"/>
        </w:numPr>
        <w:rPr>
          <w:rFonts w:ascii="Calibri" w:eastAsia="Calibri" w:hAnsi="Calibri" w:cs="Calibri"/>
        </w:rPr>
      </w:pPr>
      <w:r>
        <w:rPr>
          <w:rFonts w:ascii="Calibri" w:eastAsia="Calibri" w:hAnsi="Calibri" w:cs="Calibri"/>
        </w:rPr>
        <w:t>how to determine whether students used AI in their work; how AI detectors can detect whether a students’ writing is AI or not; new technology to improve such tools.</w:t>
      </w:r>
    </w:p>
    <w:p w14:paraId="00000014" w14:textId="77777777" w:rsidR="003D1844" w:rsidRDefault="00000000">
      <w:pPr>
        <w:numPr>
          <w:ilvl w:val="0"/>
          <w:numId w:val="8"/>
        </w:numPr>
        <w:rPr>
          <w:rFonts w:ascii="Calibri" w:eastAsia="Calibri" w:hAnsi="Calibri" w:cs="Calibri"/>
        </w:rPr>
      </w:pPr>
      <w:r>
        <w:rPr>
          <w:rFonts w:ascii="Calibri" w:eastAsia="Calibri" w:hAnsi="Calibri" w:cs="Calibri"/>
        </w:rPr>
        <w:t>Stigma behind therapy.</w:t>
      </w:r>
    </w:p>
    <w:p w14:paraId="00000015" w14:textId="77777777" w:rsidR="003D1844" w:rsidRDefault="003D1844">
      <w:pPr>
        <w:rPr>
          <w:rFonts w:ascii="Calibri" w:eastAsia="Calibri" w:hAnsi="Calibri" w:cs="Calibri"/>
        </w:rPr>
      </w:pPr>
    </w:p>
    <w:p w14:paraId="00000016" w14:textId="77777777" w:rsidR="003D1844" w:rsidRDefault="00000000">
      <w:pPr>
        <w:rPr>
          <w:rFonts w:ascii="Karla" w:eastAsia="Karla" w:hAnsi="Karla" w:cs="Karla"/>
          <w:sz w:val="26"/>
          <w:szCs w:val="26"/>
        </w:rPr>
      </w:pPr>
      <w:r>
        <w:rPr>
          <w:rFonts w:ascii="Karla" w:eastAsia="Karla" w:hAnsi="Karla" w:cs="Karla"/>
          <w:sz w:val="26"/>
          <w:szCs w:val="26"/>
        </w:rPr>
        <w:t>January 24, 2026</w:t>
      </w:r>
    </w:p>
    <w:p w14:paraId="00000017" w14:textId="77777777" w:rsidR="003D1844" w:rsidRDefault="00000000">
      <w:pPr>
        <w:numPr>
          <w:ilvl w:val="0"/>
          <w:numId w:val="8"/>
        </w:numPr>
        <w:rPr>
          <w:rFonts w:ascii="Calibri" w:eastAsia="Calibri" w:hAnsi="Calibri" w:cs="Calibri"/>
        </w:rPr>
      </w:pPr>
      <w:r>
        <w:rPr>
          <w:rFonts w:ascii="Calibri" w:eastAsia="Calibri" w:hAnsi="Calibri" w:cs="Calibri"/>
        </w:rPr>
        <w:t xml:space="preserve">Finalized project idea; effects of failure on an individual and their response to failure—factors that can help predict the type of response (between adaptive and maladaptive) and the signs that accompany the response types. </w:t>
      </w:r>
    </w:p>
    <w:p w14:paraId="00000018" w14:textId="77777777" w:rsidR="003D1844" w:rsidRDefault="003D1844">
      <w:pPr>
        <w:rPr>
          <w:rFonts w:ascii="Calibri" w:eastAsia="Calibri" w:hAnsi="Calibri" w:cs="Calibri"/>
        </w:rPr>
      </w:pPr>
    </w:p>
    <w:p w14:paraId="00000019" w14:textId="77777777" w:rsidR="003D1844" w:rsidRDefault="00000000">
      <w:pPr>
        <w:rPr>
          <w:rFonts w:ascii="Karla" w:eastAsia="Karla" w:hAnsi="Karla" w:cs="Karla"/>
          <w:sz w:val="26"/>
          <w:szCs w:val="26"/>
        </w:rPr>
      </w:pPr>
      <w:r>
        <w:rPr>
          <w:rFonts w:ascii="Karla" w:eastAsia="Karla" w:hAnsi="Karla" w:cs="Karla"/>
          <w:sz w:val="26"/>
          <w:szCs w:val="26"/>
        </w:rPr>
        <w:t>January 26, 2026</w:t>
      </w:r>
    </w:p>
    <w:p w14:paraId="0000001A" w14:textId="77777777" w:rsidR="003D1844" w:rsidRDefault="00000000">
      <w:pPr>
        <w:numPr>
          <w:ilvl w:val="0"/>
          <w:numId w:val="3"/>
        </w:numPr>
        <w:rPr>
          <w:rFonts w:ascii="Calibri" w:eastAsia="Calibri" w:hAnsi="Calibri" w:cs="Calibri"/>
        </w:rPr>
      </w:pPr>
      <w:r>
        <w:rPr>
          <w:rFonts w:ascii="Calibri" w:eastAsia="Calibri" w:hAnsi="Calibri" w:cs="Calibri"/>
        </w:rPr>
        <w:t xml:space="preserve">Defined maladaptive behaviours. Decided on problem. Sifted through websites. </w:t>
      </w:r>
    </w:p>
    <w:p w14:paraId="0000001B" w14:textId="77777777" w:rsidR="003D1844" w:rsidRDefault="00000000">
      <w:pPr>
        <w:numPr>
          <w:ilvl w:val="0"/>
          <w:numId w:val="3"/>
        </w:numPr>
        <w:rPr>
          <w:rFonts w:ascii="Calibri" w:eastAsia="Calibri" w:hAnsi="Calibri" w:cs="Calibri"/>
        </w:rPr>
      </w:pPr>
      <w:r>
        <w:rPr>
          <w:rFonts w:ascii="Calibri" w:eastAsia="Calibri" w:hAnsi="Calibri" w:cs="Calibri"/>
        </w:rPr>
        <w:t>Went to the science fair meeting during lunch.</w:t>
      </w:r>
    </w:p>
    <w:p w14:paraId="0000001C" w14:textId="77777777" w:rsidR="003D1844" w:rsidRDefault="003D1844">
      <w:pPr>
        <w:rPr>
          <w:rFonts w:ascii="Calibri" w:eastAsia="Calibri" w:hAnsi="Calibri" w:cs="Calibri"/>
        </w:rPr>
      </w:pPr>
    </w:p>
    <w:p w14:paraId="0000001D" w14:textId="77777777" w:rsidR="003D1844" w:rsidRDefault="00000000">
      <w:pPr>
        <w:rPr>
          <w:rFonts w:ascii="Calibri" w:eastAsia="Calibri" w:hAnsi="Calibri" w:cs="Calibri"/>
        </w:rPr>
      </w:pPr>
      <w:r>
        <w:rPr>
          <w:rFonts w:ascii="Calibri" w:eastAsia="Calibri" w:hAnsi="Calibri" w:cs="Calibri"/>
        </w:rPr>
        <w:t>What is the problem?</w:t>
      </w:r>
    </w:p>
    <w:p w14:paraId="0000001E" w14:textId="77777777" w:rsidR="003D1844" w:rsidRDefault="00000000">
      <w:pPr>
        <w:numPr>
          <w:ilvl w:val="0"/>
          <w:numId w:val="7"/>
        </w:numPr>
        <w:rPr>
          <w:rFonts w:ascii="Calibri" w:eastAsia="Calibri" w:hAnsi="Calibri" w:cs="Calibri"/>
        </w:rPr>
      </w:pPr>
      <w:r>
        <w:rPr>
          <w:rFonts w:ascii="Calibri" w:eastAsia="Calibri" w:hAnsi="Calibri" w:cs="Calibri"/>
        </w:rPr>
        <w:t>Hypothesis: Individuals</w:t>
      </w:r>
    </w:p>
    <w:p w14:paraId="0000001F" w14:textId="77777777" w:rsidR="003D1844" w:rsidRDefault="00000000">
      <w:pPr>
        <w:numPr>
          <w:ilvl w:val="0"/>
          <w:numId w:val="7"/>
        </w:numPr>
      </w:pPr>
      <w:r>
        <w:rPr>
          <w:rFonts w:ascii="Calibri" w:eastAsia="Calibri" w:hAnsi="Calibri" w:cs="Calibri"/>
        </w:rPr>
        <w:t>Problem: What factors predict adaptive versus maladaptive responses to failure feedback?</w:t>
      </w:r>
    </w:p>
    <w:p w14:paraId="00000020" w14:textId="77777777" w:rsidR="003D1844" w:rsidRDefault="00000000">
      <w:pPr>
        <w:numPr>
          <w:ilvl w:val="0"/>
          <w:numId w:val="7"/>
        </w:numPr>
        <w:rPr>
          <w:rFonts w:ascii="Calibri" w:eastAsia="Calibri" w:hAnsi="Calibri" w:cs="Calibri"/>
        </w:rPr>
      </w:pPr>
      <w:r>
        <w:rPr>
          <w:rFonts w:ascii="Calibri" w:eastAsia="Calibri" w:hAnsi="Calibri" w:cs="Calibri"/>
        </w:rPr>
        <w:lastRenderedPageBreak/>
        <w:t>Which factors allow one to predict whether someone will react adaptively (growth/resilience, correcting what was done wrong) or maladaptively (procrastination, not addressing the problem, creating long term trouble).</w:t>
      </w:r>
    </w:p>
    <w:p w14:paraId="00000021" w14:textId="77777777" w:rsidR="003D1844" w:rsidRDefault="003D1844">
      <w:pPr>
        <w:numPr>
          <w:ilvl w:val="0"/>
          <w:numId w:val="7"/>
        </w:numPr>
        <w:rPr>
          <w:rFonts w:ascii="Calibri" w:eastAsia="Calibri" w:hAnsi="Calibri" w:cs="Calibri"/>
        </w:rPr>
      </w:pPr>
    </w:p>
    <w:p w14:paraId="00000022" w14:textId="77777777" w:rsidR="003D1844" w:rsidRDefault="00000000">
      <w:pPr>
        <w:rPr>
          <w:rFonts w:ascii="Calibri" w:eastAsia="Calibri" w:hAnsi="Calibri" w:cs="Calibri"/>
        </w:rPr>
      </w:pPr>
      <w:r>
        <w:rPr>
          <w:rFonts w:ascii="Calibri" w:eastAsia="Calibri" w:hAnsi="Calibri" w:cs="Calibri"/>
        </w:rPr>
        <w:t xml:space="preserve"> What causes adaptive and maladaptive responses?</w:t>
      </w:r>
    </w:p>
    <w:p w14:paraId="00000023" w14:textId="77777777" w:rsidR="003D1844" w:rsidRDefault="00000000">
      <w:pPr>
        <w:ind w:firstLine="144"/>
        <w:rPr>
          <w:rFonts w:ascii="Calibri" w:eastAsia="Calibri" w:hAnsi="Calibri" w:cs="Calibri"/>
          <w:i/>
          <w:iCs/>
        </w:rPr>
      </w:pPr>
      <w:r>
        <w:rPr>
          <w:rFonts w:ascii="Calibri" w:eastAsia="Calibri" w:hAnsi="Calibri" w:cs="Calibri"/>
          <w:b/>
          <w:bCs/>
          <w:i/>
          <w:iCs/>
        </w:rPr>
        <w:t>Maladaptive</w:t>
      </w:r>
      <w:r>
        <w:rPr>
          <w:rFonts w:ascii="Calibri" w:eastAsia="Calibri" w:hAnsi="Calibri" w:cs="Calibri"/>
          <w:i/>
          <w:iCs/>
        </w:rPr>
        <w:t xml:space="preserve"> coping habits tend to be behavioural and cognitive efforts to manage stressful situations (which can include failure feedback). Maladaptive responses are insufficient and do not lead to a clear, finalized solution, often resulting in procrastination in other tasks that can reemerge similar negative emotions, struggling to push oneself to find an active solution to the problem. Individuals who are under stress of other unpleasant situations can rely on maladaptive coping behaviours in an attempt to distract oneself from negative feelings. Coping habits can include substance abuse, self-harm, overindulgence in junk food or entertainment, avoidance, and physical abuse. Maladaptive responses tend to involve harmful responses and can involve harming oneself (or self-sabotage) or others.</w:t>
      </w:r>
    </w:p>
    <w:p w14:paraId="00000024" w14:textId="77777777" w:rsidR="003D1844" w:rsidRDefault="00000000">
      <w:pPr>
        <w:rPr>
          <w:rFonts w:ascii="Calibri" w:eastAsia="Calibri" w:hAnsi="Calibri" w:cs="Calibri"/>
          <w:i/>
          <w:iCs/>
          <w:sz w:val="20"/>
          <w:szCs w:val="20"/>
        </w:rPr>
      </w:pPr>
      <w:r>
        <w:rPr>
          <w:rFonts w:ascii="Calibri" w:eastAsia="Calibri" w:hAnsi="Calibri" w:cs="Calibri"/>
          <w:i/>
          <w:iCs/>
        </w:rPr>
        <w:t>F1</w:t>
      </w:r>
      <w:hyperlink r:id="rId7">
        <w:r>
          <w:rPr>
            <w:rFonts w:ascii="Calibri" w:eastAsia="Calibri" w:hAnsi="Calibri" w:cs="Calibri"/>
            <w:i/>
            <w:iCs/>
            <w:color w:val="1155CC"/>
            <w:sz w:val="20"/>
            <w:szCs w:val="20"/>
            <w:u w:val="single"/>
          </w:rPr>
          <w:t>https://www.ncbi.nlm.nih.gov/books/NBK615373/</w:t>
        </w:r>
      </w:hyperlink>
      <w:r>
        <w:rPr>
          <w:rFonts w:ascii="Calibri" w:eastAsia="Calibri" w:hAnsi="Calibri" w:cs="Calibri"/>
          <w:i/>
          <w:iCs/>
          <w:sz w:val="20"/>
          <w:szCs w:val="20"/>
        </w:rPr>
        <w:t xml:space="preserve"> </w:t>
      </w:r>
    </w:p>
    <w:p w14:paraId="00000025" w14:textId="77777777" w:rsidR="003D1844" w:rsidRDefault="00000000">
      <w:pPr>
        <w:rPr>
          <w:rFonts w:ascii="Calibri" w:eastAsia="Calibri" w:hAnsi="Calibri" w:cs="Calibri"/>
          <w:i/>
          <w:iCs/>
          <w:sz w:val="20"/>
          <w:szCs w:val="20"/>
        </w:rPr>
      </w:pPr>
      <w:r>
        <w:rPr>
          <w:rFonts w:ascii="Calibri" w:eastAsia="Calibri" w:hAnsi="Calibri" w:cs="Calibri"/>
          <w:i/>
          <w:iCs/>
        </w:rPr>
        <w:t>F2</w:t>
      </w:r>
      <w:hyperlink r:id="rId8">
        <w:r>
          <w:rPr>
            <w:rFonts w:ascii="Calibri" w:eastAsia="Calibri" w:hAnsi="Calibri" w:cs="Calibri"/>
            <w:i/>
            <w:iCs/>
            <w:color w:val="1155CC"/>
            <w:sz w:val="20"/>
            <w:szCs w:val="20"/>
            <w:u w:val="single"/>
          </w:rPr>
          <w:t>https://mindviewpsychology.com.au/adaptive-vs-maladaptive-understanding-how-we-cope-with-stress/</w:t>
        </w:r>
      </w:hyperlink>
      <w:r>
        <w:rPr>
          <w:rFonts w:ascii="Calibri" w:eastAsia="Calibri" w:hAnsi="Calibri" w:cs="Calibri"/>
          <w:i/>
          <w:iCs/>
          <w:sz w:val="20"/>
          <w:szCs w:val="20"/>
        </w:rPr>
        <w:t xml:space="preserve"> </w:t>
      </w:r>
    </w:p>
    <w:p w14:paraId="00000026" w14:textId="77777777" w:rsidR="003D1844" w:rsidRDefault="00000000">
      <w:pPr>
        <w:rPr>
          <w:rFonts w:ascii="Calibri" w:eastAsia="Calibri" w:hAnsi="Calibri" w:cs="Calibri"/>
        </w:rPr>
      </w:pPr>
      <w:r>
        <w:rPr>
          <w:rFonts w:ascii="Calibri" w:eastAsia="Calibri" w:hAnsi="Calibri" w:cs="Calibri"/>
          <w:i/>
          <w:iCs/>
          <w:sz w:val="20"/>
          <w:szCs w:val="20"/>
        </w:rPr>
        <w:t xml:space="preserve">F3 </w:t>
      </w:r>
      <w:hyperlink r:id="rId9">
        <w:r>
          <w:rPr>
            <w:rFonts w:ascii="Calibri" w:eastAsia="Calibri" w:hAnsi="Calibri" w:cs="Calibri"/>
            <w:i/>
            <w:iCs/>
            <w:color w:val="1155CC"/>
            <w:sz w:val="20"/>
            <w:szCs w:val="20"/>
            <w:u w:val="single"/>
          </w:rPr>
          <w:t>https://pmc.ncbi.nlm.nih.gov/articles/PMC12010593/</w:t>
        </w:r>
      </w:hyperlink>
      <w:r>
        <w:rPr>
          <w:rFonts w:ascii="Calibri" w:eastAsia="Calibri" w:hAnsi="Calibri" w:cs="Calibri"/>
          <w:i/>
          <w:iCs/>
          <w:sz w:val="20"/>
          <w:szCs w:val="20"/>
        </w:rPr>
        <w:t xml:space="preserve"> </w:t>
      </w:r>
    </w:p>
    <w:p w14:paraId="00000027" w14:textId="77777777" w:rsidR="003D1844" w:rsidRDefault="003D1844">
      <w:pPr>
        <w:rPr>
          <w:rFonts w:ascii="Calibri" w:eastAsia="Calibri" w:hAnsi="Calibri" w:cs="Calibri"/>
        </w:rPr>
      </w:pPr>
    </w:p>
    <w:p w14:paraId="00000028" w14:textId="77777777" w:rsidR="003D1844" w:rsidRDefault="00000000">
      <w:pPr>
        <w:rPr>
          <w:rFonts w:ascii="Karla" w:eastAsia="Karla" w:hAnsi="Karla" w:cs="Karla"/>
          <w:sz w:val="26"/>
          <w:szCs w:val="26"/>
        </w:rPr>
      </w:pPr>
      <w:r>
        <w:rPr>
          <w:rFonts w:ascii="Karla" w:eastAsia="Karla" w:hAnsi="Karla" w:cs="Karla"/>
          <w:sz w:val="26"/>
          <w:szCs w:val="26"/>
        </w:rPr>
        <w:t>January 27, 2026</w:t>
      </w:r>
    </w:p>
    <w:p w14:paraId="00000029" w14:textId="77777777" w:rsidR="003D1844" w:rsidRDefault="00000000">
      <w:pPr>
        <w:numPr>
          <w:ilvl w:val="0"/>
          <w:numId w:val="3"/>
        </w:numPr>
        <w:rPr>
          <w:rFonts w:ascii="Calibri" w:eastAsia="Calibri" w:hAnsi="Calibri" w:cs="Calibri"/>
        </w:rPr>
      </w:pPr>
      <w:r>
        <w:rPr>
          <w:rFonts w:ascii="Calibri" w:eastAsia="Calibri" w:hAnsi="Calibri" w:cs="Calibri"/>
        </w:rPr>
        <w:t>Researched in detail on maladaptive and adaptive responses (defining terms), along with the Hormesis effect, along with how hormesis improves resilience.</w:t>
      </w:r>
    </w:p>
    <w:p w14:paraId="0000002A" w14:textId="77777777" w:rsidR="003D1844" w:rsidRDefault="003D1844">
      <w:pPr>
        <w:rPr>
          <w:rFonts w:ascii="Calibri" w:eastAsia="Calibri" w:hAnsi="Calibri" w:cs="Calibri"/>
        </w:rPr>
      </w:pPr>
    </w:p>
    <w:p w14:paraId="0000002B" w14:textId="77777777" w:rsidR="003D1844" w:rsidRDefault="00000000">
      <w:pPr>
        <w:ind w:firstLine="144"/>
        <w:rPr>
          <w:rFonts w:ascii="Calibri" w:eastAsia="Calibri" w:hAnsi="Calibri" w:cs="Calibri"/>
          <w:i/>
          <w:iCs/>
        </w:rPr>
      </w:pPr>
      <w:r>
        <w:rPr>
          <w:rFonts w:ascii="Calibri" w:eastAsia="Calibri" w:hAnsi="Calibri" w:cs="Calibri"/>
          <w:b/>
          <w:bCs/>
          <w:i/>
          <w:iCs/>
        </w:rPr>
        <w:t xml:space="preserve">Adaptive </w:t>
      </w:r>
      <w:r>
        <w:rPr>
          <w:rFonts w:ascii="Calibri" w:eastAsia="Calibri" w:hAnsi="Calibri" w:cs="Calibri"/>
          <w:i/>
          <w:iCs/>
        </w:rPr>
        <w:t>coping habits tend to be behavioural and cognitive efforts to manage stressful situations, often called “active responses”, where the responses tend to be healthy and, in opposition to maladaptive coping behaviours, often leads to clear and finalized situations to emotionally distressful situations. They help to regulate our stressors, “</w:t>
      </w:r>
      <w:r>
        <w:rPr>
          <w:rFonts w:ascii="Calibri" w:eastAsia="Calibri" w:hAnsi="Calibri" w:cs="Calibri"/>
          <w:i/>
          <w:iCs/>
          <w:u w:val="single"/>
        </w:rPr>
        <w:t>to manage stressful conditions or associated emotional distress.</w:t>
      </w:r>
      <w:r>
        <w:rPr>
          <w:rFonts w:ascii="Calibri" w:eastAsia="Calibri" w:hAnsi="Calibri" w:cs="Calibri"/>
          <w:i/>
          <w:iCs/>
        </w:rPr>
        <w:t xml:space="preserve">” (F2) </w:t>
      </w:r>
    </w:p>
    <w:p w14:paraId="0000002C" w14:textId="77777777" w:rsidR="003D1844" w:rsidRDefault="00000000">
      <w:pPr>
        <w:ind w:firstLine="144"/>
        <w:rPr>
          <w:rFonts w:ascii="Calibri" w:eastAsia="Calibri" w:hAnsi="Calibri" w:cs="Calibri"/>
          <w:i/>
          <w:iCs/>
        </w:rPr>
      </w:pPr>
      <w:r>
        <w:rPr>
          <w:rFonts w:ascii="Calibri" w:eastAsia="Calibri" w:hAnsi="Calibri" w:cs="Calibri"/>
          <w:i/>
          <w:iCs/>
        </w:rPr>
        <w:t xml:space="preserve">Adaptive coping habits help to improve resilience and and improve our functionality, just as how hormesis helps to improve the resilience and functionality of our cells when enduring a lesser stress (change). Strategies of adaptive coping include seeking support from others, setting boundaries, and practicing mindfulness. </w:t>
      </w:r>
    </w:p>
    <w:p w14:paraId="0000002D" w14:textId="77777777" w:rsidR="003D1844" w:rsidRDefault="00000000">
      <w:pPr>
        <w:ind w:firstLine="144"/>
        <w:rPr>
          <w:rFonts w:ascii="Calibri" w:eastAsia="Calibri" w:hAnsi="Calibri" w:cs="Calibri"/>
          <w:i/>
          <w:iCs/>
        </w:rPr>
      </w:pPr>
      <w:r>
        <w:rPr>
          <w:rFonts w:ascii="Calibri" w:eastAsia="Calibri" w:hAnsi="Calibri" w:cs="Calibri"/>
          <w:i/>
          <w:iCs/>
        </w:rPr>
        <w:t>Adaptive coping strategies are, in fact, shown to maintain and improve psychological well-being [12, 30] while reducing the extent of intrusion a person encounters following a stressful, traumatic event.</w:t>
      </w:r>
    </w:p>
    <w:p w14:paraId="0000002E" w14:textId="77777777" w:rsidR="003D1844" w:rsidRDefault="003D1844">
      <w:pPr>
        <w:ind w:firstLine="144"/>
        <w:rPr>
          <w:rFonts w:ascii="Calibri" w:eastAsia="Calibri" w:hAnsi="Calibri" w:cs="Calibri"/>
          <w:i/>
          <w:iCs/>
        </w:rPr>
      </w:pPr>
    </w:p>
    <w:p w14:paraId="0000002F" w14:textId="77777777" w:rsidR="003D1844" w:rsidRDefault="00000000">
      <w:pPr>
        <w:ind w:firstLine="144"/>
        <w:rPr>
          <w:rFonts w:ascii="Calibri" w:eastAsia="Calibri" w:hAnsi="Calibri" w:cs="Calibri"/>
          <w:i/>
          <w:iCs/>
        </w:rPr>
      </w:pPr>
      <w:r>
        <w:rPr>
          <w:rFonts w:ascii="Calibri" w:eastAsia="Calibri" w:hAnsi="Calibri" w:cs="Calibri"/>
          <w:b/>
          <w:bCs/>
          <w:i/>
          <w:iCs/>
        </w:rPr>
        <w:t xml:space="preserve">Hormesis effect </w:t>
      </w:r>
      <w:r>
        <w:rPr>
          <w:rFonts w:ascii="Calibri" w:eastAsia="Calibri" w:hAnsi="Calibri" w:cs="Calibri"/>
          <w:i/>
          <w:iCs/>
        </w:rPr>
        <w:t xml:space="preserve">is a biological phenomenon, our </w:t>
      </w:r>
      <w:r>
        <w:rPr>
          <w:rFonts w:ascii="Calibri" w:eastAsia="Calibri" w:hAnsi="Calibri" w:cs="Calibri"/>
          <w:b/>
          <w:bCs/>
          <w:i/>
          <w:iCs/>
        </w:rPr>
        <w:t xml:space="preserve">adaptive response </w:t>
      </w:r>
      <w:r>
        <w:rPr>
          <w:rFonts w:ascii="Calibri" w:eastAsia="Calibri" w:hAnsi="Calibri" w:cs="Calibri"/>
          <w:i/>
          <w:iCs/>
        </w:rPr>
        <w:t>to mild stressors. Similar to the effect of vaccines, where they are meant to put a fake and harmless foreign entity into the body in order to train the immune system to have a better immune response with its antibodies (because of memory cells) (“</w:t>
      </w:r>
      <w:r>
        <w:rPr>
          <w:rFonts w:ascii="Calibri" w:eastAsia="Calibri" w:hAnsi="Calibri" w:cs="Calibri"/>
          <w:i/>
          <w:iCs/>
          <w:u w:val="single"/>
        </w:rPr>
        <w:t>exposure to small amounts of certain toxins can stimulate our immune system and improve our ability to fight off infections.</w:t>
      </w:r>
      <w:r>
        <w:rPr>
          <w:rFonts w:ascii="Calibri" w:eastAsia="Calibri" w:hAnsi="Calibri" w:cs="Calibri"/>
          <w:i/>
          <w:iCs/>
        </w:rPr>
        <w:t>”(F1)), in hormesis, “</w:t>
      </w:r>
      <w:r>
        <w:rPr>
          <w:rFonts w:ascii="Calibri" w:eastAsia="Calibri" w:hAnsi="Calibri" w:cs="Calibri"/>
          <w:i/>
          <w:iCs/>
          <w:u w:val="single"/>
        </w:rPr>
        <w:t>intentional mild stressors are meant to train physical and mental toughness</w:t>
      </w:r>
      <w:r>
        <w:rPr>
          <w:rFonts w:ascii="Calibri" w:eastAsia="Calibri" w:hAnsi="Calibri" w:cs="Calibri"/>
          <w:i/>
          <w:iCs/>
        </w:rPr>
        <w:t xml:space="preserve">” (F3), helping us to mentally become stronger and be able to have more efficient responses to similar stressors. It helps to build resilience against future, more difficult stressors (such as near death situations or very very harsh and tight deadlines that inflict large amounts of stress). Thus, </w:t>
      </w:r>
      <w:r>
        <w:rPr>
          <w:rFonts w:ascii="Calibri" w:eastAsia="Calibri" w:hAnsi="Calibri" w:cs="Calibri"/>
          <w:i/>
          <w:iCs/>
        </w:rPr>
        <w:lastRenderedPageBreak/>
        <w:t xml:space="preserve">exposure to small amounts of stress are necessary to help our bodies/mental strength adapt over time to grow stronger (such as exercise or deadlines). </w:t>
      </w:r>
    </w:p>
    <w:p w14:paraId="00000030" w14:textId="77777777" w:rsidR="003D1844" w:rsidRDefault="003D1844">
      <w:pPr>
        <w:rPr>
          <w:rFonts w:ascii="Calibri" w:eastAsia="Calibri" w:hAnsi="Calibri" w:cs="Calibri"/>
          <w:i/>
          <w:iCs/>
        </w:rPr>
      </w:pPr>
    </w:p>
    <w:p w14:paraId="00000031" w14:textId="77777777" w:rsidR="003D1844" w:rsidRDefault="00000000">
      <w:pPr>
        <w:rPr>
          <w:rFonts w:ascii="Calibri" w:eastAsia="Calibri" w:hAnsi="Calibri" w:cs="Calibri"/>
          <w:i/>
          <w:iCs/>
          <w:sz w:val="20"/>
          <w:szCs w:val="20"/>
        </w:rPr>
      </w:pPr>
      <w:r>
        <w:rPr>
          <w:rFonts w:ascii="Calibri" w:eastAsia="Calibri" w:hAnsi="Calibri" w:cs="Calibri"/>
          <w:i/>
          <w:iCs/>
        </w:rPr>
        <w:t>F1</w:t>
      </w:r>
      <w:hyperlink r:id="rId10">
        <w:r>
          <w:rPr>
            <w:rFonts w:ascii="Calibri" w:eastAsia="Calibri" w:hAnsi="Calibri" w:cs="Calibri"/>
            <w:i/>
            <w:iCs/>
            <w:color w:val="1155CC"/>
            <w:sz w:val="20"/>
            <w:szCs w:val="20"/>
            <w:u w:val="single"/>
          </w:rPr>
          <w:t>https://mindviewpsychology.com.au/adaptive-vs-maladaptive-understanding-how-we-cope-with-stress/</w:t>
        </w:r>
      </w:hyperlink>
      <w:r>
        <w:rPr>
          <w:rFonts w:ascii="Calibri" w:eastAsia="Calibri" w:hAnsi="Calibri" w:cs="Calibri"/>
          <w:i/>
          <w:iCs/>
          <w:sz w:val="20"/>
          <w:szCs w:val="20"/>
        </w:rPr>
        <w:t xml:space="preserve"> </w:t>
      </w:r>
    </w:p>
    <w:p w14:paraId="00000032" w14:textId="77777777" w:rsidR="003D1844" w:rsidRDefault="00000000">
      <w:pPr>
        <w:rPr>
          <w:rFonts w:ascii="Calibri" w:eastAsia="Calibri" w:hAnsi="Calibri" w:cs="Calibri"/>
          <w:i/>
          <w:iCs/>
        </w:rPr>
      </w:pPr>
      <w:r>
        <w:rPr>
          <w:rFonts w:ascii="Calibri" w:eastAsia="Calibri" w:hAnsi="Calibri" w:cs="Calibri"/>
          <w:i/>
          <w:iCs/>
        </w:rPr>
        <w:t>F2</w:t>
      </w:r>
      <w:hyperlink r:id="rId11">
        <w:r>
          <w:rPr>
            <w:rFonts w:ascii="Calibri" w:eastAsia="Calibri" w:hAnsi="Calibri" w:cs="Calibri"/>
            <w:i/>
            <w:iCs/>
            <w:color w:val="1155CC"/>
            <w:sz w:val="20"/>
            <w:szCs w:val="20"/>
            <w:u w:val="single"/>
          </w:rPr>
          <w:t>https://www.sciencedirect.com/topics/psychology/adaptive-coping</w:t>
        </w:r>
      </w:hyperlink>
      <w:r>
        <w:rPr>
          <w:rFonts w:ascii="Calibri" w:eastAsia="Calibri" w:hAnsi="Calibri" w:cs="Calibri"/>
          <w:i/>
          <w:iCs/>
        </w:rPr>
        <w:t xml:space="preserve"> </w:t>
      </w:r>
    </w:p>
    <w:p w14:paraId="00000033" w14:textId="77777777" w:rsidR="003D1844" w:rsidRDefault="00000000">
      <w:pPr>
        <w:rPr>
          <w:rFonts w:ascii="Calibri" w:eastAsia="Calibri" w:hAnsi="Calibri" w:cs="Calibri"/>
          <w:i/>
          <w:iCs/>
          <w:sz w:val="20"/>
          <w:szCs w:val="20"/>
        </w:rPr>
      </w:pPr>
      <w:r>
        <w:rPr>
          <w:rFonts w:ascii="Calibri" w:eastAsia="Calibri" w:hAnsi="Calibri" w:cs="Calibri"/>
          <w:i/>
          <w:iCs/>
        </w:rPr>
        <w:t>F3</w:t>
      </w:r>
      <w:hyperlink r:id="rId12">
        <w:r>
          <w:rPr>
            <w:rFonts w:ascii="Calibri" w:eastAsia="Calibri" w:hAnsi="Calibri" w:cs="Calibri"/>
            <w:i/>
            <w:iCs/>
            <w:color w:val="1155CC"/>
            <w:sz w:val="20"/>
            <w:szCs w:val="20"/>
            <w:u w:val="single"/>
          </w:rPr>
          <w:t>https://www.youtube.com/shorts/TxzvUNRvpAQ</w:t>
        </w:r>
      </w:hyperlink>
      <w:r>
        <w:rPr>
          <w:rFonts w:ascii="Calibri" w:eastAsia="Calibri" w:hAnsi="Calibri" w:cs="Calibri"/>
          <w:i/>
          <w:iCs/>
          <w:sz w:val="20"/>
          <w:szCs w:val="20"/>
        </w:rPr>
        <w:t xml:space="preserve"> </w:t>
      </w:r>
    </w:p>
    <w:p w14:paraId="00000034" w14:textId="77777777" w:rsidR="003D1844" w:rsidRDefault="003D1844">
      <w:pPr>
        <w:rPr>
          <w:rFonts w:ascii="Calibri" w:eastAsia="Calibri" w:hAnsi="Calibri" w:cs="Calibri"/>
        </w:rPr>
      </w:pPr>
    </w:p>
    <w:p w14:paraId="00000035" w14:textId="77777777" w:rsidR="003D1844" w:rsidRDefault="003D1844">
      <w:pPr>
        <w:rPr>
          <w:rFonts w:ascii="Calibri" w:eastAsia="Calibri" w:hAnsi="Calibri" w:cs="Calibri"/>
        </w:rPr>
      </w:pPr>
    </w:p>
    <w:p w14:paraId="00000036" w14:textId="77777777" w:rsidR="003D1844" w:rsidRDefault="00000000">
      <w:pPr>
        <w:rPr>
          <w:rFonts w:ascii="Karla" w:eastAsia="Karla" w:hAnsi="Karla" w:cs="Karla"/>
          <w:sz w:val="26"/>
          <w:szCs w:val="26"/>
        </w:rPr>
      </w:pPr>
      <w:r>
        <w:rPr>
          <w:rFonts w:ascii="Karla" w:eastAsia="Karla" w:hAnsi="Karla" w:cs="Karla"/>
          <w:sz w:val="26"/>
          <w:szCs w:val="26"/>
        </w:rPr>
        <w:t>January 28, 2026</w:t>
      </w:r>
    </w:p>
    <w:p w14:paraId="00000037" w14:textId="77777777" w:rsidR="003D1844" w:rsidRDefault="00000000">
      <w:pPr>
        <w:numPr>
          <w:ilvl w:val="0"/>
          <w:numId w:val="3"/>
        </w:numPr>
        <w:rPr>
          <w:rFonts w:ascii="Calibri" w:eastAsia="Calibri" w:hAnsi="Calibri" w:cs="Calibri"/>
        </w:rPr>
      </w:pPr>
      <w:r>
        <w:rPr>
          <w:rFonts w:ascii="Calibri" w:eastAsia="Calibri" w:hAnsi="Calibri" w:cs="Calibri"/>
        </w:rPr>
        <w:t>Relation of stigma and mental health to maladaptive responses. (mental health (overall; in everyone) and psychological disorders (mental illness; in those diagnosed)) NEED TO RESEARCH</w:t>
      </w:r>
    </w:p>
    <w:p w14:paraId="00000038" w14:textId="77777777" w:rsidR="003D1844" w:rsidRDefault="00000000">
      <w:pPr>
        <w:numPr>
          <w:ilvl w:val="0"/>
          <w:numId w:val="3"/>
        </w:numPr>
        <w:rPr>
          <w:rFonts w:ascii="Calibri" w:eastAsia="Calibri" w:hAnsi="Calibri" w:cs="Calibri"/>
        </w:rPr>
      </w:pPr>
      <w:r>
        <w:rPr>
          <w:rFonts w:ascii="Calibri" w:eastAsia="Calibri" w:hAnsi="Calibri" w:cs="Calibri"/>
        </w:rPr>
        <w:t xml:space="preserve">Did some research on what occurs when stress indicators are stimulated, and did some research on the different types of stress. </w:t>
      </w:r>
    </w:p>
    <w:p w14:paraId="00000039" w14:textId="77777777" w:rsidR="003D1844" w:rsidRDefault="00000000">
      <w:pPr>
        <w:numPr>
          <w:ilvl w:val="0"/>
          <w:numId w:val="3"/>
        </w:numPr>
        <w:rPr>
          <w:rFonts w:ascii="Calibri" w:eastAsia="Calibri" w:hAnsi="Calibri" w:cs="Calibri"/>
        </w:rPr>
      </w:pPr>
      <w:r>
        <w:rPr>
          <w:rFonts w:ascii="Calibri" w:eastAsia="Calibri" w:hAnsi="Calibri" w:cs="Calibri"/>
        </w:rPr>
        <w:t>Asked questions to science fair coordinator in the morning about conducting an experiment.</w:t>
      </w:r>
    </w:p>
    <w:p w14:paraId="0000003A" w14:textId="77777777" w:rsidR="003D1844" w:rsidRDefault="003D1844">
      <w:pPr>
        <w:rPr>
          <w:rFonts w:ascii="Calibri" w:eastAsia="Calibri" w:hAnsi="Calibri" w:cs="Calibri"/>
        </w:rPr>
      </w:pPr>
    </w:p>
    <w:p w14:paraId="0000003B" w14:textId="77777777" w:rsidR="003D1844" w:rsidRDefault="00000000">
      <w:pPr>
        <w:ind w:firstLine="144"/>
        <w:rPr>
          <w:rFonts w:ascii="Calibri" w:eastAsia="Calibri" w:hAnsi="Calibri" w:cs="Calibri"/>
          <w:i/>
          <w:iCs/>
          <w:sz w:val="20"/>
          <w:szCs w:val="20"/>
        </w:rPr>
      </w:pPr>
      <w:r>
        <w:rPr>
          <w:rFonts w:ascii="Calibri" w:eastAsia="Calibri" w:hAnsi="Calibri" w:cs="Calibri"/>
          <w:i/>
          <w:iCs/>
          <w:sz w:val="20"/>
          <w:szCs w:val="20"/>
        </w:rPr>
        <w:t xml:space="preserve">The stress response begins in the brain (see illustration). When someone confronts an oncoming car or other danger, the eyes or ears (or both) send the information to the amygdala, an area of the brain that contributes to emotional processing. The amygdala interprets the images and sounds. When it perceives danger, it instantly sends a distress signal to the hypothalamus. When someone experiences a stressful event, the amygdala, an area of the brain that contributes to emotional processing, sends a distress signal to the hypothalamus. This area of the brain functions like a command center, communicating with the rest of the body through the nervous system so that the person has the energy to fight or flee.  </w:t>
      </w:r>
    </w:p>
    <w:p w14:paraId="0000003C" w14:textId="77777777" w:rsidR="003D1844" w:rsidRDefault="003D1844">
      <w:pPr>
        <w:ind w:firstLine="144"/>
        <w:rPr>
          <w:rFonts w:ascii="Calibri" w:eastAsia="Calibri" w:hAnsi="Calibri" w:cs="Calibri"/>
          <w:i/>
          <w:iCs/>
          <w:sz w:val="20"/>
          <w:szCs w:val="20"/>
        </w:rPr>
      </w:pPr>
    </w:p>
    <w:p w14:paraId="0000003D" w14:textId="77777777" w:rsidR="003D1844" w:rsidRDefault="00000000">
      <w:pPr>
        <w:ind w:firstLine="144"/>
        <w:rPr>
          <w:rFonts w:ascii="Calibri" w:eastAsia="Calibri" w:hAnsi="Calibri" w:cs="Calibri"/>
          <w:i/>
          <w:iCs/>
          <w:sz w:val="20"/>
          <w:szCs w:val="20"/>
        </w:rPr>
      </w:pPr>
      <w:r>
        <w:rPr>
          <w:rFonts w:ascii="Calibri" w:eastAsia="Calibri" w:hAnsi="Calibri" w:cs="Calibri"/>
          <w:i/>
          <w:iCs/>
          <w:sz w:val="20"/>
          <w:szCs w:val="20"/>
        </w:rPr>
        <w:t>The hypothalamus is a bit like a command center. This area of the brain communicates with the rest of the body through the autonomic nervous system, which controls such involuntary body functions as breathing, blood pressure, heartbeat, and the dilation or constriction of key blood vessels and small airways in the lungs called bronchioles. The autonomic nervous system has two components, the sympathetic nervous system and the parasympathetic nervous system. The sympathetic nervous system functions like a gas pedal in a car. It triggers the fight-or-flight response, providing the body with a burst of energy so that it can respond to perceived dangers. The parasympathetic nervous system acts like a brake. It promotes the "rest and digest" response that calms the body down after the danger has passed.</w:t>
      </w:r>
    </w:p>
    <w:p w14:paraId="0000003E" w14:textId="77777777" w:rsidR="003D1844" w:rsidRDefault="003D1844">
      <w:pPr>
        <w:ind w:firstLine="144"/>
        <w:rPr>
          <w:rFonts w:ascii="Calibri" w:eastAsia="Calibri" w:hAnsi="Calibri" w:cs="Calibri"/>
          <w:i/>
          <w:iCs/>
          <w:sz w:val="20"/>
          <w:szCs w:val="20"/>
        </w:rPr>
      </w:pPr>
    </w:p>
    <w:p w14:paraId="0000003F" w14:textId="77777777" w:rsidR="003D1844" w:rsidRDefault="00000000">
      <w:pPr>
        <w:ind w:firstLine="144"/>
        <w:rPr>
          <w:rFonts w:ascii="Calibri" w:eastAsia="Calibri" w:hAnsi="Calibri" w:cs="Calibri"/>
          <w:i/>
          <w:iCs/>
          <w:sz w:val="20"/>
          <w:szCs w:val="20"/>
        </w:rPr>
      </w:pPr>
      <w:r>
        <w:rPr>
          <w:rFonts w:ascii="Calibri" w:eastAsia="Calibri" w:hAnsi="Calibri" w:cs="Calibri"/>
          <w:i/>
          <w:iCs/>
          <w:sz w:val="20"/>
          <w:szCs w:val="20"/>
        </w:rPr>
        <w:t>After the amygdala sends a distress signal, the hypothalamus activates the sympathetic nervous system by sending signals through the autonomic nerves to the adrenal glands. These glands respond by pumping the hormone epinephrine (also known as adrenaline) into the bloodstream. As epinephrine circulates through the body, it brings on a number of physiological changes. The heart beats faster than normal, pushing blood to the muscles, heart, and other vital organs. Pulse rate and blood pressure go up. The person undergoing these changes also starts to breathe more rapidly. Small airways in the lungs open wide. This way, the lungs can take in as much oxygen as possible with each breath. Extra oxygen is sent to the brain, increasing alertness. Sight, hearing, and other senses become sharper. Meanwhile, epinephrine triggers the release of blood sugar (glucose) and fats from temporary storage sites in the body. These nutrients flood into the bloodstream, supplying energy to all parts of the body.</w:t>
      </w:r>
    </w:p>
    <w:p w14:paraId="00000040" w14:textId="77777777" w:rsidR="003D1844" w:rsidRDefault="003D1844">
      <w:pPr>
        <w:ind w:firstLine="144"/>
        <w:rPr>
          <w:rFonts w:ascii="Calibri" w:eastAsia="Calibri" w:hAnsi="Calibri" w:cs="Calibri"/>
          <w:i/>
          <w:iCs/>
          <w:sz w:val="20"/>
          <w:szCs w:val="20"/>
        </w:rPr>
      </w:pPr>
    </w:p>
    <w:p w14:paraId="00000041" w14:textId="77777777" w:rsidR="003D1844" w:rsidRDefault="00000000">
      <w:pPr>
        <w:ind w:firstLine="144"/>
        <w:rPr>
          <w:rFonts w:ascii="Calibri" w:eastAsia="Calibri" w:hAnsi="Calibri" w:cs="Calibri"/>
          <w:i/>
          <w:iCs/>
          <w:sz w:val="20"/>
          <w:szCs w:val="20"/>
        </w:rPr>
      </w:pPr>
      <w:r>
        <w:rPr>
          <w:rFonts w:ascii="Calibri" w:eastAsia="Calibri" w:hAnsi="Calibri" w:cs="Calibri"/>
          <w:i/>
          <w:iCs/>
          <w:sz w:val="20"/>
          <w:szCs w:val="20"/>
        </w:rPr>
        <w:t xml:space="preserve">All of these changes happen so quickly that people aren't aware of them. In fact, the wiring is so efficient that the amygdala and hypothalamus start this cascade even before the brain's visual centers have had a chance to fully </w:t>
      </w:r>
      <w:r>
        <w:rPr>
          <w:rFonts w:ascii="Calibri" w:eastAsia="Calibri" w:hAnsi="Calibri" w:cs="Calibri"/>
          <w:i/>
          <w:iCs/>
          <w:sz w:val="20"/>
          <w:szCs w:val="20"/>
        </w:rPr>
        <w:lastRenderedPageBreak/>
        <w:t>process what is happening. That's why people are able to jump out of the path of an oncoming car even before they think about what they are doing. As the initial surge of epinephrine subsides, the hypothalamus activates the second component of the stress response system — known as the HPA axis. This network consists of the hypothalamus, the pituitary gland, and the adrenal glands. The HPA axis relies on a series of hormonal signals to keep the sympathetic nervous system — the "gas pedal" — pressed down. If the brain continues to perceive something as dangerous, the hypothalamus releases corticotropin-releasing hormone (CRH), which travels to the pituitary gland, triggering the release of adrenocorticotropic hormone (ACTH). This hormone travels to the adrenal glands, prompting them to release cortisol. The body thus stays revved up and on high alert. When the threat passes, cortisol levels fall. The parasympathetic nervous system — the "brake" — then dampens the stress response. (</w:t>
      </w:r>
      <w:r>
        <w:rPr>
          <w:rFonts w:ascii="Calibri" w:eastAsia="Calibri" w:hAnsi="Calibri" w:cs="Calibri"/>
          <w:i/>
          <w:iCs/>
          <w:sz w:val="20"/>
          <w:szCs w:val="20"/>
          <w:u w:val="single"/>
        </w:rPr>
        <w:t>everything copied directly from F2, word for word, along with the image; reword later) (named “harvard image” on my laptop for the photo</w:t>
      </w:r>
      <w:r>
        <w:rPr>
          <w:rFonts w:ascii="Calibri" w:eastAsia="Calibri" w:hAnsi="Calibri" w:cs="Calibri"/>
          <w:i/>
          <w:iCs/>
          <w:sz w:val="20"/>
          <w:szCs w:val="20"/>
        </w:rPr>
        <w:t>)</w:t>
      </w:r>
    </w:p>
    <w:p w14:paraId="00000042" w14:textId="77777777" w:rsidR="003D1844" w:rsidRDefault="003D1844">
      <w:pPr>
        <w:rPr>
          <w:rFonts w:ascii="Calibri" w:eastAsia="Calibri" w:hAnsi="Calibri" w:cs="Calibri"/>
          <w:i/>
          <w:iCs/>
          <w:sz w:val="20"/>
          <w:szCs w:val="20"/>
        </w:rPr>
      </w:pPr>
    </w:p>
    <w:p w14:paraId="0000004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Stressors (stimuli of stress) inflict the behavioural and psychological responses to stressful situations (external/internal). Some stressors are positive and help to improve our energy, cardiovascular health, boost endurance, and sharpen cognitive function. Other stressors are negative and can deteriorate our overall health, producing adverse affects. (F3) There are seven types of stress: </w:t>
      </w:r>
    </w:p>
    <w:p w14:paraId="0000004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Acute stress: The short-term stress that typically results from immediate stressors or challenging situations. The body's fight-or-flight response leads to temporary physiological changes such as increased heart rate and adrenaline release.</w:t>
      </w:r>
    </w:p>
    <w:p w14:paraId="00000045" w14:textId="77777777" w:rsidR="003D1844" w:rsidRDefault="003D1844">
      <w:pPr>
        <w:rPr>
          <w:rFonts w:ascii="Calibri" w:eastAsia="Calibri" w:hAnsi="Calibri" w:cs="Calibri"/>
          <w:i/>
          <w:iCs/>
          <w:sz w:val="20"/>
          <w:szCs w:val="20"/>
        </w:rPr>
      </w:pPr>
    </w:p>
    <w:p w14:paraId="0000004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Chronic stress: This occurs when the stressor persists over an extended period. Prolonged exposure to chronic stress can lead to cumulative physiological and psychological effects, increasing the risk of health problems such as cardiovascular disease, anxiety, and depression.</w:t>
      </w:r>
    </w:p>
    <w:p w14:paraId="00000047" w14:textId="77777777" w:rsidR="003D1844" w:rsidRDefault="003D1844">
      <w:pPr>
        <w:rPr>
          <w:rFonts w:ascii="Calibri" w:eastAsia="Calibri" w:hAnsi="Calibri" w:cs="Calibri"/>
          <w:i/>
          <w:iCs/>
          <w:sz w:val="20"/>
          <w:szCs w:val="20"/>
        </w:rPr>
      </w:pPr>
    </w:p>
    <w:p w14:paraId="0000004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Episodic acute stress: The stress occurs when individuals experience frequent episodes of acute stress. This pattern may be characteristic of individuals who lead chaotic or disorganized lifestyles, constantly facing deadlines, commitments, or interpersonal conflicts. The cycle of stress exacerbates health issues and impairs daily functioning.</w:t>
      </w:r>
    </w:p>
    <w:p w14:paraId="00000049" w14:textId="77777777" w:rsidR="003D1844" w:rsidRDefault="003D1844">
      <w:pPr>
        <w:rPr>
          <w:rFonts w:ascii="Calibri" w:eastAsia="Calibri" w:hAnsi="Calibri" w:cs="Calibri"/>
          <w:i/>
          <w:iCs/>
          <w:sz w:val="20"/>
          <w:szCs w:val="20"/>
        </w:rPr>
      </w:pPr>
    </w:p>
    <w:p w14:paraId="0000004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Traumatic stress: This type results from exposure to traumatic events, such as natural disasters, accidents, or violent acts. The trauma overwhelms an individual's ability to cope and may lead to symptoms of posttraumatic stress disorder (PTSD), including intrusive memories, avoidance behaviors, and hyperarousal.</w:t>
      </w:r>
    </w:p>
    <w:p w14:paraId="0000004B" w14:textId="77777777" w:rsidR="003D1844" w:rsidRDefault="003D1844">
      <w:pPr>
        <w:rPr>
          <w:rFonts w:ascii="Calibri" w:eastAsia="Calibri" w:hAnsi="Calibri" w:cs="Calibri"/>
          <w:i/>
          <w:iCs/>
          <w:sz w:val="20"/>
          <w:szCs w:val="20"/>
        </w:rPr>
      </w:pPr>
    </w:p>
    <w:p w14:paraId="0000004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Environmental stress: This type arises from adverse or challenging conditions in one's surroundings, including noise, pollution, overcrowding, or unsafe living conditions. These stressors can have detrimental effects on physical and mental health, contributing to a sense of discomfort or unease.</w:t>
      </w:r>
    </w:p>
    <w:p w14:paraId="0000004D" w14:textId="77777777" w:rsidR="003D1844" w:rsidRDefault="003D1844">
      <w:pPr>
        <w:rPr>
          <w:rFonts w:ascii="Calibri" w:eastAsia="Calibri" w:hAnsi="Calibri" w:cs="Calibri"/>
          <w:i/>
          <w:iCs/>
          <w:sz w:val="20"/>
          <w:szCs w:val="20"/>
        </w:rPr>
      </w:pPr>
    </w:p>
    <w:p w14:paraId="0000004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Psychological stress: The stress stems from cognitive or emotional factors, such as perceived threats, worries, or negative thoughts. Typical stressors include work-related pressures, academic expectations, social comparisons, or self-imposed demands. Manifestations include anxiety, rumination, or perfectionism.</w:t>
      </w:r>
    </w:p>
    <w:p w14:paraId="0000004F" w14:textId="77777777" w:rsidR="003D1844" w:rsidRDefault="003D1844">
      <w:pPr>
        <w:rPr>
          <w:rFonts w:ascii="Calibri" w:eastAsia="Calibri" w:hAnsi="Calibri" w:cs="Calibri"/>
          <w:i/>
          <w:iCs/>
          <w:sz w:val="20"/>
          <w:szCs w:val="20"/>
        </w:rPr>
      </w:pPr>
    </w:p>
    <w:p w14:paraId="0000005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Physiological stress: Physiological stress refers to the body's response to internal or external stressors that disrupt homeostasis. Examples include illness, injury, sleep deprivation, or nutritional deficiencies, which activate physiological stress pathways and compromise health and well-being.(</w:t>
      </w:r>
      <w:r>
        <w:rPr>
          <w:rFonts w:ascii="Calibri" w:eastAsia="Calibri" w:hAnsi="Calibri" w:cs="Calibri"/>
          <w:i/>
          <w:iCs/>
          <w:sz w:val="20"/>
          <w:szCs w:val="20"/>
          <w:u w:val="single"/>
        </w:rPr>
        <w:t>F3, copied entire definitions of each type of stress; reword it later</w:t>
      </w:r>
      <w:r>
        <w:rPr>
          <w:rFonts w:ascii="Calibri" w:eastAsia="Calibri" w:hAnsi="Calibri" w:cs="Calibri"/>
          <w:i/>
          <w:iCs/>
          <w:sz w:val="20"/>
          <w:szCs w:val="20"/>
        </w:rPr>
        <w:t>)</w:t>
      </w:r>
    </w:p>
    <w:p w14:paraId="00000051" w14:textId="77777777" w:rsidR="003D1844" w:rsidRDefault="003D1844">
      <w:pPr>
        <w:rPr>
          <w:rFonts w:ascii="Calibri" w:eastAsia="Calibri" w:hAnsi="Calibri" w:cs="Calibri"/>
          <w:i/>
          <w:iCs/>
          <w:sz w:val="20"/>
          <w:szCs w:val="20"/>
        </w:rPr>
      </w:pPr>
    </w:p>
    <w:p w14:paraId="00000052" w14:textId="77777777" w:rsidR="003D1844" w:rsidRDefault="003D1844">
      <w:pPr>
        <w:rPr>
          <w:rFonts w:ascii="Calibri" w:eastAsia="Calibri" w:hAnsi="Calibri" w:cs="Calibri"/>
          <w:i/>
          <w:iCs/>
          <w:sz w:val="20"/>
          <w:szCs w:val="20"/>
        </w:rPr>
      </w:pPr>
    </w:p>
    <w:p w14:paraId="00000053" w14:textId="77777777" w:rsidR="003D1844" w:rsidRDefault="00000000">
      <w:pPr>
        <w:rPr>
          <w:rFonts w:ascii="Calibri" w:eastAsia="Calibri" w:hAnsi="Calibri" w:cs="Calibri"/>
          <w:i/>
          <w:iCs/>
          <w:sz w:val="20"/>
          <w:szCs w:val="20"/>
        </w:rPr>
      </w:pPr>
      <w:r>
        <w:rPr>
          <w:rFonts w:ascii="Calibri" w:eastAsia="Calibri" w:hAnsi="Calibri" w:cs="Calibri"/>
          <w:i/>
          <w:iCs/>
        </w:rPr>
        <w:lastRenderedPageBreak/>
        <w:t>F1</w:t>
      </w:r>
      <w:hyperlink r:id="rId13">
        <w:r>
          <w:rPr>
            <w:rFonts w:ascii="Calibri" w:eastAsia="Calibri" w:hAnsi="Calibri" w:cs="Calibri"/>
            <w:i/>
            <w:iCs/>
            <w:color w:val="1155CC"/>
            <w:sz w:val="20"/>
            <w:szCs w:val="20"/>
            <w:u w:val="single"/>
          </w:rPr>
          <w:t>https://youtu.be/VgYmIsYmUIU</w:t>
        </w:r>
      </w:hyperlink>
      <w:r>
        <w:rPr>
          <w:rFonts w:ascii="Calibri" w:eastAsia="Calibri" w:hAnsi="Calibri" w:cs="Calibri"/>
          <w:i/>
          <w:iCs/>
          <w:sz w:val="20"/>
          <w:szCs w:val="20"/>
        </w:rPr>
        <w:t xml:space="preserve">    mentioned stuff on like adaption and resilience </w:t>
      </w:r>
    </w:p>
    <w:p w14:paraId="00000054" w14:textId="77777777" w:rsidR="003D1844" w:rsidRDefault="00000000">
      <w:pPr>
        <w:rPr>
          <w:rFonts w:ascii="Calibri" w:eastAsia="Calibri" w:hAnsi="Calibri" w:cs="Calibri"/>
          <w:i/>
          <w:iCs/>
          <w:sz w:val="20"/>
          <w:szCs w:val="20"/>
        </w:rPr>
      </w:pPr>
      <w:r>
        <w:rPr>
          <w:rFonts w:ascii="Calibri" w:eastAsia="Calibri" w:hAnsi="Calibri" w:cs="Calibri"/>
          <w:i/>
          <w:iCs/>
        </w:rPr>
        <w:t xml:space="preserve">F2 </w:t>
      </w:r>
      <w:hyperlink r:id="rId14">
        <w:r>
          <w:rPr>
            <w:rFonts w:ascii="Calibri" w:eastAsia="Calibri" w:hAnsi="Calibri" w:cs="Calibri"/>
            <w:i/>
            <w:iCs/>
            <w:color w:val="1155CC"/>
            <w:sz w:val="20"/>
            <w:szCs w:val="20"/>
            <w:u w:val="single"/>
          </w:rPr>
          <w:t>www.health.harvard.edu/staying-healthy/understanding-the-stress-response</w:t>
        </w:r>
      </w:hyperlink>
      <w:r>
        <w:rPr>
          <w:rFonts w:ascii="Calibri" w:eastAsia="Calibri" w:hAnsi="Calibri" w:cs="Calibri"/>
          <w:i/>
          <w:iCs/>
          <w:sz w:val="20"/>
          <w:szCs w:val="20"/>
        </w:rPr>
        <w:t xml:space="preserve"> </w:t>
      </w:r>
    </w:p>
    <w:p w14:paraId="00000055" w14:textId="77777777" w:rsidR="003D1844" w:rsidRDefault="00000000">
      <w:pPr>
        <w:rPr>
          <w:rFonts w:ascii="Calibri" w:eastAsia="Calibri" w:hAnsi="Calibri" w:cs="Calibri"/>
        </w:rPr>
      </w:pPr>
      <w:r>
        <w:rPr>
          <w:rFonts w:ascii="Calibri" w:eastAsia="Calibri" w:hAnsi="Calibri" w:cs="Calibri"/>
          <w:i/>
          <w:iCs/>
        </w:rPr>
        <w:t>F3</w:t>
      </w:r>
      <w:r>
        <w:rPr>
          <w:rFonts w:ascii="Calibri" w:eastAsia="Calibri" w:hAnsi="Calibri" w:cs="Calibri"/>
          <w:i/>
          <w:iCs/>
          <w:sz w:val="20"/>
          <w:szCs w:val="20"/>
        </w:rPr>
        <w:t xml:space="preserve"> </w:t>
      </w:r>
      <w:hyperlink r:id="rId15">
        <w:r>
          <w:rPr>
            <w:rFonts w:ascii="Calibri" w:eastAsia="Calibri" w:hAnsi="Calibri" w:cs="Calibri"/>
            <w:i/>
            <w:iCs/>
            <w:color w:val="1155CC"/>
            <w:sz w:val="20"/>
            <w:szCs w:val="20"/>
            <w:u w:val="single"/>
          </w:rPr>
          <w:t>https://www.ncbi.nlm.nih.gov/books/NBK541120/</w:t>
        </w:r>
      </w:hyperlink>
    </w:p>
    <w:p w14:paraId="00000056" w14:textId="77777777" w:rsidR="003D1844" w:rsidRDefault="003D1844">
      <w:pPr>
        <w:rPr>
          <w:rFonts w:ascii="Calibri" w:eastAsia="Calibri" w:hAnsi="Calibri" w:cs="Calibri"/>
        </w:rPr>
      </w:pPr>
    </w:p>
    <w:p w14:paraId="00000057" w14:textId="77777777" w:rsidR="003D1844" w:rsidRDefault="00000000">
      <w:pPr>
        <w:rPr>
          <w:rFonts w:ascii="Karla" w:eastAsia="Karla" w:hAnsi="Karla" w:cs="Karla"/>
          <w:sz w:val="26"/>
          <w:szCs w:val="26"/>
        </w:rPr>
      </w:pPr>
      <w:r>
        <w:rPr>
          <w:rFonts w:ascii="Karla" w:eastAsia="Karla" w:hAnsi="Karla" w:cs="Karla"/>
          <w:sz w:val="26"/>
          <w:szCs w:val="26"/>
        </w:rPr>
        <w:t>February 1, 2026</w:t>
      </w:r>
    </w:p>
    <w:p w14:paraId="00000058" w14:textId="77777777" w:rsidR="003D1844" w:rsidRDefault="00000000">
      <w:pPr>
        <w:numPr>
          <w:ilvl w:val="0"/>
          <w:numId w:val="5"/>
        </w:numPr>
        <w:rPr>
          <w:rFonts w:ascii="Calibri" w:eastAsia="Calibri" w:hAnsi="Calibri" w:cs="Calibri"/>
        </w:rPr>
      </w:pPr>
      <w:r>
        <w:rPr>
          <w:rFonts w:ascii="Calibri" w:eastAsia="Calibri" w:hAnsi="Calibri" w:cs="Calibri"/>
        </w:rPr>
        <w:t xml:space="preserve">Cultivated foundation of experiment with science fair coordinator’s help via email. </w:t>
      </w:r>
    </w:p>
    <w:p w14:paraId="00000059" w14:textId="77777777" w:rsidR="003D1844" w:rsidRDefault="00000000">
      <w:pPr>
        <w:numPr>
          <w:ilvl w:val="0"/>
          <w:numId w:val="5"/>
        </w:numPr>
        <w:rPr>
          <w:rFonts w:ascii="Calibri" w:eastAsia="Calibri" w:hAnsi="Calibri" w:cs="Calibri"/>
        </w:rPr>
      </w:pPr>
      <w:r>
        <w:rPr>
          <w:rFonts w:ascii="Calibri" w:eastAsia="Calibri" w:hAnsi="Calibri" w:cs="Calibri"/>
        </w:rPr>
        <w:t xml:space="preserve">Signed ethics form and got approval. </w:t>
      </w:r>
    </w:p>
    <w:p w14:paraId="0000005A" w14:textId="77777777" w:rsidR="003D1844" w:rsidRDefault="00000000">
      <w:pPr>
        <w:numPr>
          <w:ilvl w:val="0"/>
          <w:numId w:val="5"/>
        </w:numPr>
        <w:rPr>
          <w:rFonts w:ascii="Calibri" w:eastAsia="Calibri" w:hAnsi="Calibri" w:cs="Calibri"/>
        </w:rPr>
      </w:pPr>
      <w:r>
        <w:rPr>
          <w:rFonts w:ascii="Calibri" w:eastAsia="Calibri" w:hAnsi="Calibri" w:cs="Calibri"/>
          <w:i/>
          <w:iCs/>
        </w:rPr>
        <w:t>Experimental Structure:</w:t>
      </w:r>
    </w:p>
    <w:p w14:paraId="0000005B" w14:textId="77777777" w:rsidR="003D1844" w:rsidRDefault="00000000">
      <w:pPr>
        <w:numPr>
          <w:ilvl w:val="0"/>
          <w:numId w:val="5"/>
        </w:numPr>
        <w:rPr>
          <w:rFonts w:ascii="Calibri" w:eastAsia="Calibri" w:hAnsi="Calibri" w:cs="Calibri"/>
        </w:rPr>
      </w:pPr>
      <w:r>
        <w:rPr>
          <w:rFonts w:ascii="Calibri" w:eastAsia="Calibri" w:hAnsi="Calibri" w:cs="Calibri"/>
          <w:i/>
          <w:iCs/>
        </w:rPr>
        <w:t>1.Everyone completes a short task</w:t>
      </w:r>
    </w:p>
    <w:p w14:paraId="0000005C" w14:textId="77777777" w:rsidR="003D1844" w:rsidRDefault="00000000">
      <w:pPr>
        <w:numPr>
          <w:ilvl w:val="0"/>
          <w:numId w:val="5"/>
        </w:numPr>
        <w:rPr>
          <w:rFonts w:ascii="Calibri" w:eastAsia="Calibri" w:hAnsi="Calibri" w:cs="Calibri"/>
        </w:rPr>
      </w:pPr>
      <w:r>
        <w:rPr>
          <w:rFonts w:ascii="Calibri" w:eastAsia="Calibri" w:hAnsi="Calibri" w:cs="Calibri"/>
          <w:i/>
          <w:iCs/>
        </w:rPr>
        <w:t>2.Everyone receives the same failure feedback (simulated, ethical)</w:t>
      </w:r>
    </w:p>
    <w:p w14:paraId="0000005D" w14:textId="77777777" w:rsidR="003D1844" w:rsidRDefault="00000000">
      <w:pPr>
        <w:numPr>
          <w:ilvl w:val="0"/>
          <w:numId w:val="5"/>
        </w:numPr>
        <w:rPr>
          <w:rFonts w:ascii="Calibri" w:eastAsia="Calibri" w:hAnsi="Calibri" w:cs="Calibri"/>
        </w:rPr>
      </w:pPr>
      <w:r>
        <w:rPr>
          <w:rFonts w:ascii="Calibri" w:eastAsia="Calibri" w:hAnsi="Calibri" w:cs="Calibri"/>
          <w:i/>
          <w:iCs/>
        </w:rPr>
        <w:t>4.Measure immediate responses</w:t>
      </w:r>
    </w:p>
    <w:p w14:paraId="0000005E" w14:textId="77777777" w:rsidR="003D1844" w:rsidRDefault="00000000">
      <w:pPr>
        <w:numPr>
          <w:ilvl w:val="0"/>
          <w:numId w:val="5"/>
        </w:numPr>
        <w:rPr>
          <w:rFonts w:ascii="Calibri" w:eastAsia="Calibri" w:hAnsi="Calibri" w:cs="Calibri"/>
        </w:rPr>
      </w:pPr>
      <w:r>
        <w:rPr>
          <w:rFonts w:ascii="Calibri" w:eastAsia="Calibri" w:hAnsi="Calibri" w:cs="Calibri"/>
          <w:i/>
          <w:iCs/>
        </w:rPr>
        <w:t>ONLY measure 3–4 things:</w:t>
      </w:r>
    </w:p>
    <w:p w14:paraId="0000005F" w14:textId="77777777" w:rsidR="003D1844" w:rsidRDefault="00000000">
      <w:pPr>
        <w:numPr>
          <w:ilvl w:val="0"/>
          <w:numId w:val="5"/>
        </w:numPr>
        <w:rPr>
          <w:rFonts w:ascii="Calibri" w:eastAsia="Calibri" w:hAnsi="Calibri" w:cs="Calibri"/>
        </w:rPr>
      </w:pPr>
      <w:r>
        <w:rPr>
          <w:rFonts w:ascii="Calibri" w:eastAsia="Calibri" w:hAnsi="Calibri" w:cs="Calibri"/>
          <w:i/>
          <w:iCs/>
        </w:rPr>
        <w:t>-Self-efficacy (validated scale)</w:t>
      </w:r>
    </w:p>
    <w:p w14:paraId="00000060" w14:textId="77777777" w:rsidR="003D1844" w:rsidRDefault="00000000">
      <w:pPr>
        <w:numPr>
          <w:ilvl w:val="0"/>
          <w:numId w:val="5"/>
        </w:numPr>
        <w:rPr>
          <w:rFonts w:ascii="Calibri" w:eastAsia="Calibri" w:hAnsi="Calibri" w:cs="Calibri"/>
        </w:rPr>
      </w:pPr>
      <w:r>
        <w:rPr>
          <w:rFonts w:ascii="Calibri" w:eastAsia="Calibri" w:hAnsi="Calibri" w:cs="Calibri"/>
          <w:i/>
          <w:iCs/>
        </w:rPr>
        <w:t>-Willingness to retry (behavioral choice: yes/no)</w:t>
      </w:r>
    </w:p>
    <w:p w14:paraId="00000061" w14:textId="77777777" w:rsidR="003D1844" w:rsidRDefault="00000000">
      <w:pPr>
        <w:numPr>
          <w:ilvl w:val="0"/>
          <w:numId w:val="5"/>
        </w:numPr>
        <w:rPr>
          <w:rFonts w:ascii="Calibri" w:eastAsia="Calibri" w:hAnsi="Calibri" w:cs="Calibri"/>
        </w:rPr>
      </w:pPr>
      <w:r>
        <w:rPr>
          <w:rFonts w:ascii="Calibri" w:eastAsia="Calibri" w:hAnsi="Calibri" w:cs="Calibri"/>
          <w:i/>
          <w:iCs/>
        </w:rPr>
        <w:t>-Time spent on retry (persistence)</w:t>
      </w:r>
    </w:p>
    <w:p w14:paraId="00000062" w14:textId="77777777" w:rsidR="003D1844" w:rsidRDefault="00000000">
      <w:pPr>
        <w:numPr>
          <w:ilvl w:val="0"/>
          <w:numId w:val="5"/>
        </w:numPr>
        <w:rPr>
          <w:rFonts w:ascii="Calibri" w:eastAsia="Calibri" w:hAnsi="Calibri" w:cs="Calibri"/>
        </w:rPr>
      </w:pPr>
      <w:r>
        <w:rPr>
          <w:rFonts w:ascii="Calibri" w:eastAsia="Calibri" w:hAnsi="Calibri" w:cs="Calibri"/>
          <w:i/>
          <w:iCs/>
        </w:rPr>
        <w:t>-Optional: emotional response (short scale)</w:t>
      </w:r>
    </w:p>
    <w:p w14:paraId="00000063" w14:textId="77777777" w:rsidR="003D1844" w:rsidRDefault="003D1844">
      <w:pPr>
        <w:rPr>
          <w:rFonts w:ascii="Calibri" w:eastAsia="Calibri" w:hAnsi="Calibri" w:cs="Calibri"/>
        </w:rPr>
      </w:pPr>
    </w:p>
    <w:p w14:paraId="00000064" w14:textId="77777777" w:rsidR="003D1844" w:rsidRDefault="00000000">
      <w:pPr>
        <w:rPr>
          <w:rFonts w:ascii="Karla" w:eastAsia="Karla" w:hAnsi="Karla" w:cs="Karla"/>
          <w:sz w:val="26"/>
          <w:szCs w:val="26"/>
        </w:rPr>
      </w:pPr>
      <w:r>
        <w:rPr>
          <w:rFonts w:ascii="Karla" w:eastAsia="Karla" w:hAnsi="Karla" w:cs="Karla"/>
          <w:sz w:val="26"/>
          <w:szCs w:val="26"/>
        </w:rPr>
        <w:t>February 2, 2026</w:t>
      </w:r>
    </w:p>
    <w:p w14:paraId="00000065" w14:textId="77777777" w:rsidR="003D1844" w:rsidRDefault="00000000">
      <w:pPr>
        <w:numPr>
          <w:ilvl w:val="0"/>
          <w:numId w:val="5"/>
        </w:numPr>
        <w:rPr>
          <w:rFonts w:ascii="Calibri" w:eastAsia="Calibri" w:hAnsi="Calibri" w:cs="Calibri"/>
        </w:rPr>
      </w:pPr>
      <w:r>
        <w:rPr>
          <w:rFonts w:ascii="Calibri" w:eastAsia="Calibri" w:hAnsi="Calibri" w:cs="Calibri"/>
        </w:rPr>
        <w:t xml:space="preserve">Went to the science fair meeting. </w:t>
      </w:r>
    </w:p>
    <w:p w14:paraId="00000066" w14:textId="77777777" w:rsidR="003D1844" w:rsidRDefault="003D1844">
      <w:pPr>
        <w:rPr>
          <w:rFonts w:ascii="Calibri" w:eastAsia="Calibri" w:hAnsi="Calibri" w:cs="Calibri"/>
        </w:rPr>
      </w:pPr>
    </w:p>
    <w:p w14:paraId="00000067" w14:textId="77777777" w:rsidR="003D1844" w:rsidRDefault="00000000">
      <w:pPr>
        <w:rPr>
          <w:rFonts w:ascii="Karla" w:eastAsia="Karla" w:hAnsi="Karla" w:cs="Karla"/>
          <w:sz w:val="26"/>
          <w:szCs w:val="26"/>
        </w:rPr>
      </w:pPr>
      <w:r>
        <w:rPr>
          <w:rFonts w:ascii="Karla" w:eastAsia="Karla" w:hAnsi="Karla" w:cs="Karla"/>
          <w:sz w:val="26"/>
          <w:szCs w:val="26"/>
        </w:rPr>
        <w:t>February 3, 2026</w:t>
      </w:r>
    </w:p>
    <w:p w14:paraId="00000068" w14:textId="77777777" w:rsidR="003D1844" w:rsidRDefault="00000000">
      <w:pPr>
        <w:numPr>
          <w:ilvl w:val="0"/>
          <w:numId w:val="4"/>
        </w:numPr>
        <w:rPr>
          <w:rFonts w:ascii="Calibri" w:eastAsia="Calibri" w:hAnsi="Calibri" w:cs="Calibri"/>
        </w:rPr>
      </w:pPr>
      <w:r>
        <w:rPr>
          <w:rFonts w:ascii="Calibri" w:eastAsia="Calibri" w:hAnsi="Calibri" w:cs="Calibri"/>
        </w:rPr>
        <w:t>Researched different hormones involved in stress response. What hormones are part of the stress response? How are they involved?</w:t>
      </w:r>
    </w:p>
    <w:p w14:paraId="0000006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F2: CORTISOL Is known by many to be the main stress hormone is cortisol (though it has other functions as well). Epinephrine (adrenaline), cortisol, and norepinephrine are a few of the hormones involved in stress response. Cortisol is released in small amounts at a constant rate, unlike catecholamines which are released in larger group amounts in bursts. Cortisol is a long-term stress hormone. Increases blood sugar levels and boosts energy production. Suppresses non-essentials such as digestion, reproduction, and immunity, allowing the body to send nutrients to deal with the stress situation. If the body is constantly under stress and cortisol levels remain high, it can lead to issues such as weight gain, anxiety, depression, etc. </w:t>
      </w:r>
    </w:p>
    <w:p w14:paraId="0000006A" w14:textId="77777777" w:rsidR="003D1844" w:rsidRDefault="003D1844">
      <w:pPr>
        <w:rPr>
          <w:rFonts w:ascii="Calibri" w:eastAsia="Calibri" w:hAnsi="Calibri" w:cs="Calibri"/>
          <w:i/>
          <w:iCs/>
          <w:sz w:val="20"/>
          <w:szCs w:val="20"/>
        </w:rPr>
      </w:pPr>
    </w:p>
    <w:p w14:paraId="0000006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CATECHOLAMINES: groups of hormones such as epinephrine (adrenaline), norepinephrine, and dopamine, function as neurotransmitters for the body. Releases in large amounts and increases heart rate and blood pressure and is part of the “flight or fight” response. Main catecholamines include:</w:t>
      </w:r>
    </w:p>
    <w:p w14:paraId="0000006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1.Epinephrine (Adrenaline), 2.Norepinephrine (Noradrenaline), 3.Dopamine. </w:t>
      </w:r>
    </w:p>
    <w:p w14:paraId="0000006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Adrenaline: most associated with flight or fight. Released in large amounts. Effects on the body include increased heart rate and increased blood pressure. Boosts energy production and blood flow to muscles. Too much for too long can cause anxiety, irritability, and difficulty in sleep. Better for the short term. </w:t>
      </w:r>
    </w:p>
    <w:p w14:paraId="0000006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Norepinephrine: similar to adrenaline, but released in smaller amounts. Along with blood pressure and heart rate increase, it boosts alertness and vigilance. Produced by the metabolism (breakdown) of dopamine. Too much causes anxiety, inability to sleep, and irritability. </w:t>
      </w:r>
    </w:p>
    <w:p w14:paraId="0000006F" w14:textId="77777777" w:rsidR="003D1844" w:rsidRDefault="00000000">
      <w:pPr>
        <w:rPr>
          <w:rFonts w:ascii="Calibri" w:eastAsia="Calibri" w:hAnsi="Calibri" w:cs="Calibri"/>
          <w:b/>
          <w:bCs/>
          <w:i/>
          <w:iCs/>
          <w:sz w:val="20"/>
          <w:szCs w:val="20"/>
        </w:rPr>
      </w:pPr>
      <w:r>
        <w:rPr>
          <w:rFonts w:ascii="Calibri" w:eastAsia="Calibri" w:hAnsi="Calibri" w:cs="Calibri"/>
          <w:i/>
          <w:iCs/>
          <w:sz w:val="20"/>
          <w:szCs w:val="20"/>
        </w:rPr>
        <w:lastRenderedPageBreak/>
        <w:t xml:space="preserve">Dopamine: role in mood, motivation and pleasure. Known as the reward hormone; released when we do something that feels good. </w:t>
      </w:r>
      <w:r>
        <w:rPr>
          <w:rFonts w:ascii="Calibri" w:eastAsia="Calibri" w:hAnsi="Calibri" w:cs="Calibri"/>
          <w:b/>
          <w:bCs/>
          <w:i/>
          <w:iCs/>
          <w:sz w:val="20"/>
          <w:szCs w:val="20"/>
        </w:rPr>
        <w:t>Is ESSENTIAL FOR STRESS SINCE IT ALLOWS FOR ADAPTION TO VARIOUS ENVIRONMENTAL STIMULI.</w:t>
      </w:r>
    </w:p>
    <w:p w14:paraId="00000070" w14:textId="77777777" w:rsidR="003D1844" w:rsidRDefault="003D1844">
      <w:pPr>
        <w:rPr>
          <w:rFonts w:ascii="Calibri" w:eastAsia="Calibri" w:hAnsi="Calibri" w:cs="Calibri"/>
          <w:b/>
          <w:bCs/>
          <w:i/>
          <w:iCs/>
          <w:sz w:val="20"/>
          <w:szCs w:val="20"/>
        </w:rPr>
      </w:pPr>
    </w:p>
    <w:p w14:paraId="0000007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VASSOPRESSIN: also known as an antidiuretic hormone, regulates blood pressure and water metabolism in the body. produced in the hypothalamus (a region of the brain) and stored in the pituitary gland (a small gland located beneath the brain). Vasopressin is released into circulation when the body experiences physical or psychological stress. Once in the bloodstream, vasopressin binds to receptors on blood vessels and increases blood vessel constriction (vasoconstriction). This results in an increase in blood pressure. In addition, vasopressin signals the kidneys (acts on the kidneys) to reabsorb more water from urine, which leads to less urine production and helps prevent dehydration during times of physical stress. </w:t>
      </w:r>
    </w:p>
    <w:p w14:paraId="00000072" w14:textId="77777777" w:rsidR="003D1844" w:rsidRDefault="003D1844">
      <w:pPr>
        <w:rPr>
          <w:rFonts w:ascii="Calibri" w:eastAsia="Calibri" w:hAnsi="Calibri" w:cs="Calibri"/>
          <w:b/>
          <w:bCs/>
          <w:i/>
          <w:iCs/>
          <w:sz w:val="20"/>
          <w:szCs w:val="20"/>
        </w:rPr>
      </w:pPr>
    </w:p>
    <w:p w14:paraId="0000007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Chronic exposure to stress can lead to heart disease, stroke, psychological disorders, cognitive decline, chronic fatigue, weakened immune systems, gastrointestinal issues, weight gain, collagen/keratin issues (skin and hair), sleep problems and more. People with adaptive responses to stress are more prone to all of these issues.  Chronic stress is most of the times associated with maladaptive stress responses. </w:t>
      </w:r>
    </w:p>
    <w:p w14:paraId="00000074" w14:textId="77777777" w:rsidR="003D1844" w:rsidRDefault="003D1844">
      <w:pPr>
        <w:rPr>
          <w:rFonts w:ascii="Calibri" w:eastAsia="Calibri" w:hAnsi="Calibri" w:cs="Calibri"/>
          <w:i/>
          <w:iCs/>
          <w:sz w:val="20"/>
          <w:szCs w:val="20"/>
        </w:rPr>
      </w:pPr>
    </w:p>
    <w:p w14:paraId="0000007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Increased risk of </w:t>
      </w:r>
      <w:r>
        <w:rPr>
          <w:rFonts w:ascii="Calibri" w:eastAsia="Calibri" w:hAnsi="Calibri" w:cs="Calibri"/>
          <w:i/>
          <w:iCs/>
          <w:sz w:val="20"/>
          <w:szCs w:val="20"/>
          <w:u w:val="single"/>
        </w:rPr>
        <w:t>heart disease</w:t>
      </w:r>
      <w:r>
        <w:rPr>
          <w:rFonts w:ascii="Calibri" w:eastAsia="Calibri" w:hAnsi="Calibri" w:cs="Calibri"/>
          <w:i/>
          <w:iCs/>
          <w:sz w:val="20"/>
          <w:szCs w:val="20"/>
        </w:rPr>
        <w:t xml:space="preserve"> due to higher blood pressure and abnormal heart beats. Elevates cortisol, damages arteries and leads to plaque buildup. </w:t>
      </w:r>
    </w:p>
    <w:p w14:paraId="0000007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B/c of vassopressin, blood vessels constrict, can lead to buildup of plaque in blood vessels, causing blockage and can lead to a </w:t>
      </w:r>
      <w:r>
        <w:rPr>
          <w:rFonts w:ascii="Calibri" w:eastAsia="Calibri" w:hAnsi="Calibri" w:cs="Calibri"/>
          <w:i/>
          <w:iCs/>
          <w:sz w:val="20"/>
          <w:szCs w:val="20"/>
          <w:u w:val="single"/>
        </w:rPr>
        <w:t>stroke</w:t>
      </w:r>
      <w:r>
        <w:rPr>
          <w:rFonts w:ascii="Calibri" w:eastAsia="Calibri" w:hAnsi="Calibri" w:cs="Calibri"/>
          <w:i/>
          <w:iCs/>
          <w:sz w:val="20"/>
          <w:szCs w:val="20"/>
        </w:rPr>
        <w:t xml:space="preserve">. </w:t>
      </w:r>
    </w:p>
    <w:p w14:paraId="0000007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Stress is seen to develop and worsen anxiety and depression in people. Stress affects the way our bodies process serotonin (responsible for mood regulation), which can link to the rise in psychological disorders, especially anxiety and depression. </w:t>
      </w:r>
    </w:p>
    <w:p w14:paraId="00000078" w14:textId="77777777" w:rsidR="003D1844" w:rsidRDefault="003D1844">
      <w:pPr>
        <w:rPr>
          <w:rFonts w:ascii="Calibri" w:eastAsia="Calibri" w:hAnsi="Calibri" w:cs="Calibri"/>
          <w:b/>
          <w:bCs/>
          <w:i/>
          <w:iCs/>
          <w:sz w:val="20"/>
          <w:szCs w:val="20"/>
        </w:rPr>
      </w:pPr>
    </w:p>
    <w:p w14:paraId="0000007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F3: SERATONIN: plays a key role in such body functions as mood, sleep, digestion, nausea, wound healing, bone health, blood clotting and sexual desire. Serotonin levels that are too low or too high can cause physical and psychological health problems. As a neurotransmitter, serotonin carries messages between nerve cells in your brain (your central nervous system) and throughout your body (your peripheral nervous system). These chemical messages tell your body how to work. </w:t>
      </w:r>
    </w:p>
    <w:p w14:paraId="0000007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Serotonin plays several roles in your body, including influencing learning, memory, happiness as well as regulating body temperature, sleep, sexual behavior and hunger. Lack of enough serotonin is thought to play a role in depression, anxiety, mania and other health conditions.</w:t>
      </w:r>
    </w:p>
    <w:p w14:paraId="0000007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Most of the serotonin found in your body is in your gut (intestines). About 90% of serotonin is found in the cells lining your gastrointestinal tract. It’s released into your blood circulation and absorbed by platelets. Only about 10% is produced in your brain.</w:t>
      </w:r>
    </w:p>
    <w:p w14:paraId="0000007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Serotonin is made from the essential amino acid tryptophan. An essential amino acid means it can’t be made by your body. It has to be obtained from the foods you eat or other methods. </w:t>
      </w:r>
    </w:p>
    <w:p w14:paraId="0000007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F4:  One way to possibly sneak more tryptophan into your brain is to get it from complex carbohydrate sources, such as vegetables, fruits, legumes, and whole grains. When you eat these carbs, your body produces insulin, which helps your muscles pull in more amino acids, giving tryptophan a better chance at reaching your brain. You can also increase serotonin by exercising, taking medications (selective serotonin reuptake inhibitors (SSRIs) and serotonin and norepinephrine reuptake inhibitors (SNRIs)), and being in sunlight more often. </w:t>
      </w:r>
    </w:p>
    <w:p w14:paraId="0000007E" w14:textId="77777777" w:rsidR="003D1844" w:rsidRDefault="003D1844">
      <w:pPr>
        <w:rPr>
          <w:rFonts w:ascii="Calibri" w:eastAsia="Calibri" w:hAnsi="Calibri" w:cs="Calibri"/>
          <w:i/>
          <w:iCs/>
          <w:sz w:val="20"/>
          <w:szCs w:val="20"/>
        </w:rPr>
      </w:pPr>
    </w:p>
    <w:p w14:paraId="0000007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My own words: cues of failure, such as a failed test, a disappointed parent, or not doing as well as you hoped can result in the increased level of stress, leading to an increased amount of secreted hormones involved. </w:t>
      </w:r>
    </w:p>
    <w:p w14:paraId="00000080" w14:textId="77777777" w:rsidR="003D1844" w:rsidRDefault="003D1844">
      <w:pPr>
        <w:rPr>
          <w:rFonts w:ascii="Calibri" w:eastAsia="Calibri" w:hAnsi="Calibri" w:cs="Calibri"/>
          <w:i/>
          <w:iCs/>
          <w:sz w:val="20"/>
          <w:szCs w:val="20"/>
        </w:rPr>
      </w:pPr>
    </w:p>
    <w:p w14:paraId="0000008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F5: Whenever the exposure occurs at low doses, defensive effects overwhelm the adverse effects of the exposure; this adaptive situation is referred to as “hormesis”. Hormetins (agents, conditions, or substances that induce mild stress triggering protective, adaptive, and restorative mechanisms known as hormesis) lead to the stimulation and strengthening of the maintenance and repair systems in cells and tissues</w:t>
      </w:r>
    </w:p>
    <w:p w14:paraId="00000082" w14:textId="77777777" w:rsidR="003D1844" w:rsidRDefault="003D1844">
      <w:pPr>
        <w:rPr>
          <w:rFonts w:ascii="Calibri" w:eastAsia="Calibri" w:hAnsi="Calibri" w:cs="Calibri"/>
          <w:i/>
          <w:iCs/>
          <w:sz w:val="20"/>
          <w:szCs w:val="20"/>
        </w:rPr>
      </w:pPr>
    </w:p>
    <w:p w14:paraId="00000083" w14:textId="77777777" w:rsidR="003D1844" w:rsidRDefault="003D1844">
      <w:pPr>
        <w:rPr>
          <w:rFonts w:ascii="Calibri" w:eastAsia="Calibri" w:hAnsi="Calibri" w:cs="Calibri"/>
          <w:i/>
          <w:iCs/>
          <w:sz w:val="20"/>
          <w:szCs w:val="20"/>
        </w:rPr>
      </w:pPr>
    </w:p>
    <w:p w14:paraId="00000084" w14:textId="77777777" w:rsidR="003D1844" w:rsidRDefault="003D1844">
      <w:pPr>
        <w:rPr>
          <w:rFonts w:ascii="Calibri" w:eastAsia="Calibri" w:hAnsi="Calibri" w:cs="Calibri"/>
          <w:i/>
          <w:iCs/>
          <w:sz w:val="20"/>
          <w:szCs w:val="20"/>
        </w:rPr>
      </w:pPr>
    </w:p>
    <w:p w14:paraId="0000008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F1</w:t>
      </w:r>
      <w:hyperlink r:id="rId16">
        <w:r>
          <w:rPr>
            <w:rFonts w:ascii="Calibri" w:eastAsia="Calibri" w:hAnsi="Calibri" w:cs="Calibri"/>
            <w:i/>
            <w:iCs/>
            <w:color w:val="1155CC"/>
            <w:sz w:val="20"/>
            <w:szCs w:val="20"/>
            <w:u w:val="single"/>
          </w:rPr>
          <w:t>https://www.albertafamilywellness.org/what-we-know/stress/</w:t>
        </w:r>
      </w:hyperlink>
      <w:r>
        <w:rPr>
          <w:rFonts w:ascii="Calibri" w:eastAsia="Calibri" w:hAnsi="Calibri" w:cs="Calibri"/>
          <w:i/>
          <w:iCs/>
          <w:sz w:val="20"/>
          <w:szCs w:val="20"/>
        </w:rPr>
        <w:t xml:space="preserve"> </w:t>
      </w:r>
    </w:p>
    <w:p w14:paraId="0000008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F2 </w:t>
      </w:r>
      <w:hyperlink r:id="rId17">
        <w:r>
          <w:rPr>
            <w:rFonts w:ascii="Calibri" w:eastAsia="Calibri" w:hAnsi="Calibri" w:cs="Calibri"/>
            <w:i/>
            <w:iCs/>
            <w:color w:val="1155CC"/>
            <w:sz w:val="20"/>
            <w:szCs w:val="20"/>
            <w:u w:val="single"/>
          </w:rPr>
          <w:t>https://www.bodylogicmd.com/blog/what-are-stress-hormones/</w:t>
        </w:r>
      </w:hyperlink>
      <w:r>
        <w:rPr>
          <w:rFonts w:ascii="Calibri" w:eastAsia="Calibri" w:hAnsi="Calibri" w:cs="Calibri"/>
          <w:i/>
          <w:iCs/>
          <w:sz w:val="20"/>
          <w:szCs w:val="20"/>
        </w:rPr>
        <w:t xml:space="preserve"> </w:t>
      </w:r>
    </w:p>
    <w:p w14:paraId="0000008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F3 </w:t>
      </w:r>
      <w:hyperlink r:id="rId18">
        <w:r>
          <w:rPr>
            <w:rFonts w:ascii="Calibri" w:eastAsia="Calibri" w:hAnsi="Calibri" w:cs="Calibri"/>
            <w:i/>
            <w:iCs/>
            <w:color w:val="1155CC"/>
            <w:sz w:val="20"/>
            <w:szCs w:val="20"/>
            <w:u w:val="single"/>
          </w:rPr>
          <w:t>https://my.clevelandclinic.org/health/articles/22572-serotonin</w:t>
        </w:r>
      </w:hyperlink>
      <w:r>
        <w:rPr>
          <w:rFonts w:ascii="Calibri" w:eastAsia="Calibri" w:hAnsi="Calibri" w:cs="Calibri"/>
          <w:i/>
          <w:iCs/>
          <w:sz w:val="20"/>
          <w:szCs w:val="20"/>
        </w:rPr>
        <w:t xml:space="preserve"> </w:t>
      </w:r>
    </w:p>
    <w:p w14:paraId="00000088" w14:textId="77777777" w:rsidR="003D1844" w:rsidRDefault="00000000">
      <w:pPr>
        <w:rPr>
          <w:rFonts w:ascii="Calibri" w:eastAsia="Calibri" w:hAnsi="Calibri" w:cs="Calibri"/>
        </w:rPr>
      </w:pPr>
      <w:r>
        <w:rPr>
          <w:rFonts w:ascii="Calibri" w:eastAsia="Calibri" w:hAnsi="Calibri" w:cs="Calibri"/>
          <w:i/>
          <w:iCs/>
          <w:sz w:val="20"/>
          <w:szCs w:val="20"/>
        </w:rPr>
        <w:t xml:space="preserve">F4 </w:t>
      </w:r>
      <w:hyperlink r:id="rId19">
        <w:r>
          <w:rPr>
            <w:rFonts w:ascii="Calibri" w:eastAsia="Calibri" w:hAnsi="Calibri" w:cs="Calibri"/>
            <w:i/>
            <w:iCs/>
            <w:color w:val="1155CC"/>
            <w:sz w:val="20"/>
            <w:szCs w:val="20"/>
            <w:u w:val="single"/>
          </w:rPr>
          <w:t>https://www.health.harvard.edu/mind-and-mood/serotonin-the-natural-mood-booster</w:t>
        </w:r>
      </w:hyperlink>
    </w:p>
    <w:p w14:paraId="00000089" w14:textId="77777777" w:rsidR="003D1844" w:rsidRDefault="003D1844">
      <w:pPr>
        <w:rPr>
          <w:rFonts w:ascii="Calibri" w:eastAsia="Calibri" w:hAnsi="Calibri" w:cs="Calibri"/>
        </w:rPr>
      </w:pPr>
    </w:p>
    <w:p w14:paraId="0000008A" w14:textId="77777777" w:rsidR="003D1844" w:rsidRDefault="00000000">
      <w:pPr>
        <w:rPr>
          <w:rFonts w:ascii="Calibri" w:eastAsia="Calibri" w:hAnsi="Calibri" w:cs="Calibri"/>
        </w:rPr>
      </w:pPr>
      <w:r>
        <w:rPr>
          <w:rFonts w:ascii="Karla" w:eastAsia="Karla" w:hAnsi="Karla" w:cs="Karla"/>
          <w:sz w:val="26"/>
          <w:szCs w:val="26"/>
        </w:rPr>
        <w:t>February 4, 2026</w:t>
      </w:r>
    </w:p>
    <w:p w14:paraId="0000008B" w14:textId="77777777" w:rsidR="003D1844" w:rsidRDefault="00000000">
      <w:pPr>
        <w:numPr>
          <w:ilvl w:val="0"/>
          <w:numId w:val="4"/>
        </w:numPr>
        <w:rPr>
          <w:rFonts w:ascii="Calibri" w:eastAsia="Calibri" w:hAnsi="Calibri" w:cs="Calibri"/>
        </w:rPr>
      </w:pPr>
      <w:r>
        <w:rPr>
          <w:rFonts w:ascii="Calibri" w:eastAsia="Calibri" w:hAnsi="Calibri" w:cs="Calibri"/>
        </w:rPr>
        <w:t>How psychopathy is related to maladaptive behaviour.</w:t>
      </w:r>
    </w:p>
    <w:p w14:paraId="0000008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F1: Lack of adaptive and enhanced maladaptive coping with stress and negative emotions are implicated in many psychopathological disorders. We hypothesized that the magnitude of the supposed positive correlation between maladaptive coping and psychopathology would be stronger than the supposed negative correlation between adaptive coping and psychopathology. We also examined whether distinct coping style patterns emerge for different psychopathological syndromes.</w:t>
      </w:r>
    </w:p>
    <w:p w14:paraId="0000008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METHOD</w:t>
      </w:r>
    </w:p>
    <w:p w14:paraId="0000008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 total of 2200 individuals from the general population participated in an online survey. The Patient Health Questionnaire-9 (PHQ-9), the Obsessive-Compulsive Inventory revised (OCI-R) and the Paranoia Checklist were administered along with a novel instrument called Maladaptive and Adaptive Coping Styles (MAX) questionnaire. Participants were reassessed six months later.</w:t>
      </w:r>
    </w:p>
    <w:p w14:paraId="0000008F" w14:textId="77777777" w:rsidR="003D1844" w:rsidRDefault="003D1844">
      <w:pPr>
        <w:rPr>
          <w:rFonts w:ascii="Calibri" w:eastAsia="Calibri" w:hAnsi="Calibri" w:cs="Calibri"/>
          <w:i/>
          <w:iCs/>
          <w:sz w:val="20"/>
          <w:szCs w:val="20"/>
        </w:rPr>
      </w:pPr>
    </w:p>
    <w:p w14:paraId="0000009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F1: </w:t>
      </w:r>
      <w:hyperlink r:id="rId20">
        <w:r>
          <w:rPr>
            <w:rFonts w:ascii="Calibri" w:eastAsia="Calibri" w:hAnsi="Calibri" w:cs="Calibri"/>
            <w:i/>
            <w:iCs/>
            <w:color w:val="1155CC"/>
            <w:sz w:val="20"/>
            <w:szCs w:val="20"/>
            <w:u w:val="single"/>
          </w:rPr>
          <w:t>https://www.sciencedirect.com/science/article/abs/pii/S0165032715306960</w:t>
        </w:r>
      </w:hyperlink>
    </w:p>
    <w:p w14:paraId="00000091" w14:textId="77777777" w:rsidR="003D1844" w:rsidRDefault="003D1844">
      <w:pPr>
        <w:rPr>
          <w:rFonts w:ascii="Calibri" w:eastAsia="Calibri" w:hAnsi="Calibri" w:cs="Calibri"/>
        </w:rPr>
      </w:pPr>
    </w:p>
    <w:p w14:paraId="00000092" w14:textId="77777777" w:rsidR="003D1844" w:rsidRDefault="00000000">
      <w:pPr>
        <w:rPr>
          <w:rFonts w:ascii="Calibri" w:eastAsia="Calibri" w:hAnsi="Calibri" w:cs="Calibri"/>
        </w:rPr>
      </w:pPr>
      <w:r>
        <w:rPr>
          <w:rFonts w:ascii="Karla" w:eastAsia="Karla" w:hAnsi="Karla" w:cs="Karla"/>
          <w:sz w:val="26"/>
          <w:szCs w:val="26"/>
        </w:rPr>
        <w:t>February 5, 2026</w:t>
      </w:r>
    </w:p>
    <w:p w14:paraId="00000093" w14:textId="77777777" w:rsidR="003D1844" w:rsidRDefault="00000000">
      <w:pPr>
        <w:numPr>
          <w:ilvl w:val="0"/>
          <w:numId w:val="4"/>
        </w:numPr>
        <w:rPr>
          <w:rFonts w:ascii="Calibri" w:eastAsia="Calibri" w:hAnsi="Calibri" w:cs="Calibri"/>
        </w:rPr>
      </w:pPr>
      <w:r>
        <w:rPr>
          <w:rFonts w:ascii="Calibri" w:eastAsia="Calibri" w:hAnsi="Calibri" w:cs="Calibri"/>
        </w:rPr>
        <w:t xml:space="preserve">More research on how psychopathy is related to stress and maladaptive behaviour. </w:t>
      </w:r>
    </w:p>
    <w:p w14:paraId="00000094" w14:textId="77777777" w:rsidR="003D1844" w:rsidRDefault="00000000">
      <w:pPr>
        <w:numPr>
          <w:ilvl w:val="0"/>
          <w:numId w:val="4"/>
        </w:numPr>
        <w:rPr>
          <w:rFonts w:ascii="Calibri" w:eastAsia="Calibri" w:hAnsi="Calibri" w:cs="Calibri"/>
        </w:rPr>
      </w:pPr>
      <w:r>
        <w:rPr>
          <w:rFonts w:ascii="Calibri" w:eastAsia="Calibri" w:hAnsi="Calibri" w:cs="Calibri"/>
        </w:rPr>
        <w:t>Coping method’s relation to emotional regulation.</w:t>
      </w:r>
    </w:p>
    <w:p w14:paraId="00000095" w14:textId="77777777" w:rsidR="003D1844" w:rsidRDefault="00000000">
      <w:pPr>
        <w:numPr>
          <w:ilvl w:val="0"/>
          <w:numId w:val="4"/>
        </w:numPr>
        <w:rPr>
          <w:rFonts w:ascii="Calibri" w:eastAsia="Calibri" w:hAnsi="Calibri" w:cs="Calibri"/>
        </w:rPr>
      </w:pPr>
      <w:r>
        <w:rPr>
          <w:rFonts w:ascii="Calibri" w:eastAsia="Calibri" w:hAnsi="Calibri" w:cs="Calibri"/>
        </w:rPr>
        <w:t>Psychological disorders’ relation to maladaptive behaviours.</w:t>
      </w:r>
    </w:p>
    <w:p w14:paraId="00000096" w14:textId="77777777" w:rsidR="003D1844" w:rsidRDefault="00000000">
      <w:pPr>
        <w:numPr>
          <w:ilvl w:val="0"/>
          <w:numId w:val="4"/>
        </w:numPr>
        <w:rPr>
          <w:rFonts w:ascii="Calibri" w:eastAsia="Calibri" w:hAnsi="Calibri" w:cs="Calibri"/>
        </w:rPr>
      </w:pPr>
      <w:r>
        <w:rPr>
          <w:rFonts w:ascii="Calibri" w:eastAsia="Calibri" w:hAnsi="Calibri" w:cs="Calibri"/>
        </w:rPr>
        <w:t xml:space="preserve">Types of nervous systems and how they affect stress response. </w:t>
      </w:r>
    </w:p>
    <w:p w14:paraId="00000097" w14:textId="77777777" w:rsidR="003D1844" w:rsidRDefault="00000000">
      <w:pPr>
        <w:numPr>
          <w:ilvl w:val="0"/>
          <w:numId w:val="4"/>
        </w:numPr>
        <w:rPr>
          <w:rFonts w:ascii="Calibri" w:eastAsia="Calibri" w:hAnsi="Calibri" w:cs="Calibri"/>
        </w:rPr>
      </w:pPr>
      <w:r>
        <w:rPr>
          <w:rFonts w:ascii="Calibri" w:eastAsia="Calibri" w:hAnsi="Calibri" w:cs="Calibri"/>
        </w:rPr>
        <w:t xml:space="preserve">Fight or flight response (nervous system) research (ANS, PSNS, SNS, etc.) </w:t>
      </w:r>
    </w:p>
    <w:p w14:paraId="00000098" w14:textId="77777777" w:rsidR="003D1844" w:rsidRDefault="00000000">
      <w:pPr>
        <w:numPr>
          <w:ilvl w:val="0"/>
          <w:numId w:val="4"/>
        </w:numPr>
        <w:rPr>
          <w:rFonts w:ascii="Calibri" w:eastAsia="Calibri" w:hAnsi="Calibri" w:cs="Calibri"/>
        </w:rPr>
      </w:pPr>
      <w:r>
        <w:rPr>
          <w:rFonts w:ascii="Calibri" w:eastAsia="Calibri" w:hAnsi="Calibri" w:cs="Calibri"/>
        </w:rPr>
        <w:t xml:space="preserve">Types of emotional responses/regulation. </w:t>
      </w:r>
    </w:p>
    <w:p w14:paraId="00000099" w14:textId="77777777" w:rsidR="003D1844" w:rsidRDefault="003D1844">
      <w:pPr>
        <w:rPr>
          <w:rFonts w:ascii="Calibri" w:eastAsia="Calibri" w:hAnsi="Calibri" w:cs="Calibri"/>
        </w:rPr>
      </w:pPr>
    </w:p>
    <w:p w14:paraId="0000009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F1: </w:t>
      </w:r>
    </w:p>
    <w:p w14:paraId="0000009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Results</w:t>
      </w:r>
    </w:p>
    <w:p w14:paraId="0000009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MAX consists of three dimensions representing adaptive coping, maladaptive coping and avoidance. Across all psychopathological syndromes, similar response patterns emerged. Maladaptive coping was more strongly related to psychopathology than adaptive coping both cross-sectionally and longitudinally. The overall number of coping styles adopted by an individual predicted greater psychopathology. Mediation analysis suggests that a mild positive relationship between adaptive and certain maladaptive styles (emotional suppression) partially accounts for the attenuated relationship between adaptive coping and depressive symptoms.</w:t>
      </w:r>
    </w:p>
    <w:p w14:paraId="0000009D" w14:textId="77777777" w:rsidR="003D1844" w:rsidRDefault="003D1844">
      <w:pPr>
        <w:rPr>
          <w:rFonts w:ascii="Calibri" w:eastAsia="Calibri" w:hAnsi="Calibri" w:cs="Calibri"/>
          <w:i/>
          <w:iCs/>
          <w:sz w:val="20"/>
          <w:szCs w:val="20"/>
        </w:rPr>
      </w:pPr>
    </w:p>
    <w:p w14:paraId="0000009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Conclusions</w:t>
      </w:r>
    </w:p>
    <w:p w14:paraId="0000009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Results suggest that maladaptive and adaptive coping styles are not reciprocal. Reducing maladaptive coping seems to be more important for outcome than enhancing adaptive coping. The study supports transdiagnostic approaches advocating that maladaptive coping is a common factor across different psychopathologies.</w:t>
      </w:r>
    </w:p>
    <w:p w14:paraId="000000A0" w14:textId="77777777" w:rsidR="003D1844" w:rsidRDefault="003D1844">
      <w:pPr>
        <w:rPr>
          <w:rFonts w:ascii="Calibri" w:eastAsia="Calibri" w:hAnsi="Calibri" w:cs="Calibri"/>
          <w:i/>
          <w:iCs/>
          <w:sz w:val="20"/>
          <w:szCs w:val="20"/>
        </w:rPr>
      </w:pPr>
    </w:p>
    <w:p w14:paraId="000000A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Apart from genetic (Kendler et al., 1995) and environmental factors (e.g., job loss, poor social network; Musliner et al., 2015), maladaptive coping and lack of adaptive coping styles in stressful situations have long been implicated in the pathogenesis of different psychological disorders. For example, dysfunctional coping patterns have been identified in depression.pathological gambling, anxiety (Mahmoud et al., 2012) and psychotic symptoms (Lincoln et al., 2015, Lysaker et al., 2005, Phillips et al., 2009). Whereas maladaptive strategies (e.g., rumination and suppression; Aldao et al., 2010) seem helpful in the short term but are detrimental in the long run, adaptive coping strategies such as problem solving and reappraisal are thought to prevent and reduce harm and emotional problems both in the short and long run. associated with certain genetic variations (Aizawa et al., 2015) which may partly explain why some maladaptive coping styles are resistant to change.</w:t>
      </w:r>
    </w:p>
    <w:p w14:paraId="000000A2" w14:textId="77777777" w:rsidR="003D1844" w:rsidRDefault="003D1844">
      <w:pPr>
        <w:rPr>
          <w:rFonts w:ascii="Calibri" w:eastAsia="Calibri" w:hAnsi="Calibri" w:cs="Calibri"/>
          <w:i/>
          <w:iCs/>
          <w:sz w:val="20"/>
          <w:szCs w:val="20"/>
        </w:rPr>
      </w:pPr>
    </w:p>
    <w:p w14:paraId="000000A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Coping with stress is intimately linked to emotion regulation. Coping is aimed at regulating emotional experiences by changing one’s response to a stressful event or by changing the situation that elicited the response (Compas et al., in press). Moreover, research on emotion regulation often relies on instruments designed to capture coping (see meta-analytic review by Aldao et al., 2010) and the study of emotion regulation is rooted in the literature on coping, particularly emotion-focused coping. Traditional concepts of CBT have stressed the importance of reducing cognitive errors and biases (Beck and Haigh, 2014). Recent CBT (cognitive behaviour therapy)-oriented approaches (Nolen-Hoeksema et al., 2008, Papageorgiou and Wells, 2004, Wells and Papageorgiou, 2004) particularly highlight the role of </w:t>
      </w:r>
      <w:r>
        <w:rPr>
          <w:rFonts w:ascii="Calibri" w:eastAsia="Calibri" w:hAnsi="Calibri" w:cs="Calibri"/>
          <w:b/>
          <w:bCs/>
          <w:i/>
          <w:iCs/>
          <w:sz w:val="20"/>
          <w:szCs w:val="20"/>
        </w:rPr>
        <w:t>rumination</w:t>
      </w:r>
      <w:r>
        <w:rPr>
          <w:rFonts w:ascii="Calibri" w:eastAsia="Calibri" w:hAnsi="Calibri" w:cs="Calibri"/>
          <w:i/>
          <w:iCs/>
          <w:sz w:val="20"/>
          <w:szCs w:val="20"/>
        </w:rPr>
        <w:t xml:space="preserve"> (replaying negative moments without finding a solution; maladaptive). </w:t>
      </w:r>
    </w:p>
    <w:p w14:paraId="000000A4" w14:textId="77777777" w:rsidR="003D1844" w:rsidRDefault="003D1844">
      <w:pPr>
        <w:rPr>
          <w:rFonts w:ascii="Calibri" w:eastAsia="Calibri" w:hAnsi="Calibri" w:cs="Calibri"/>
          <w:i/>
          <w:iCs/>
          <w:sz w:val="20"/>
          <w:szCs w:val="20"/>
        </w:rPr>
      </w:pPr>
    </w:p>
    <w:p w14:paraId="000000A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F2: </w:t>
      </w:r>
    </w:p>
    <w:p w14:paraId="000000A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Your nervous system’s main function is to send messages from various parts of your body to your brain, and from your brain back out to your body to tell your body what to do. These messages regulate your: Thoughts, memory, learning and feelings, Movements (balance and coordination), Senses (how your brain interprets what you see, hear, taste, touch and feel), Wound healing. Sleep. Heartbeat and breathing patterns. Response to stressful situations, including sweat production. Digestion. Body processes, such as puberty and aging.uses nerve cells called neurons to send signals, or messages, all over your body. different types of neurons. Each type of neuron has a different job:</w:t>
      </w:r>
    </w:p>
    <w:p w14:paraId="000000A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Motor neurons take signals from your brain and spinal cord to your muscles. They help you move. They also assist with breathing, swallowing and speaking.</w:t>
      </w:r>
    </w:p>
    <w:p w14:paraId="000000A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Sensory neurons take information from your senses (what you see, touch, taste, etc.) to your brain.</w:t>
      </w:r>
    </w:p>
    <w:p w14:paraId="000000A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Interneurons communicate between motor and sensory neurons. These neurons regulate your movement in response to sensory information (like moving away from a hot surface) and play a role in how you learn, think and remember.</w:t>
      </w:r>
    </w:p>
    <w:p w14:paraId="000000A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Central nervous system (CNS): Your brain and spinal cord make up your CNS. Your brain reads signals from your nerves to regulate how you think, move and feel.</w:t>
      </w:r>
    </w:p>
    <w:p w14:paraId="000000A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Peripheral nervous system (PNS): Your PNS is made up of a network of nerves. The nerves branch out from your spinal cord. This system relays information from your brain and spinal cord to your organs, arms, legs, fingers and toes.</w:t>
      </w:r>
    </w:p>
    <w:p w14:paraId="000000A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There are two parts to the peripheral nervous system:</w:t>
      </w:r>
    </w:p>
    <w:p w14:paraId="000000A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somatic nervous system guides the voluntary movements.</w:t>
      </w:r>
    </w:p>
    <w:p w14:paraId="000000A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lastRenderedPageBreak/>
        <w:t>The autonomic nervous system regulates the activities done without thinking about them (involuntary movements).</w:t>
      </w:r>
    </w:p>
    <w:p w14:paraId="000000AF" w14:textId="77777777" w:rsidR="003D1844" w:rsidRDefault="003D1844">
      <w:pPr>
        <w:rPr>
          <w:rFonts w:ascii="Calibri" w:eastAsia="Calibri" w:hAnsi="Calibri" w:cs="Calibri"/>
          <w:i/>
          <w:iCs/>
          <w:sz w:val="20"/>
          <w:szCs w:val="20"/>
        </w:rPr>
      </w:pPr>
    </w:p>
    <w:p w14:paraId="000000B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F3:</w:t>
      </w:r>
    </w:p>
    <w:p w14:paraId="000000B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ANS consists of 3 anatomically distinct divisions: sympathetic, parasympathetic, and enteric</w:t>
      </w:r>
    </w:p>
    <w:p w14:paraId="000000B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Activation of the SNS induces a state of heightened activity and alertness, commonly referred to as the “fight or flight” response. Physiologic effects include increases in heart rate and blood pressure, stimulation of glycogenolysis, and inhibition of gastrointestinal peristalsis.[3] Sympathetic innervation extends broadly to most organs and tissues, but structures such as cartilage and avascular epithelia lack direct sympathetic input. Located in the intermediolateral columns, or lateral horns, of the spinal cord.</w:t>
      </w:r>
    </w:p>
    <w:p w14:paraId="000000B3" w14:textId="77777777" w:rsidR="003D1844" w:rsidRDefault="003D1844">
      <w:pPr>
        <w:rPr>
          <w:rFonts w:ascii="Calibri" w:eastAsia="Calibri" w:hAnsi="Calibri" w:cs="Calibri"/>
          <w:i/>
          <w:iCs/>
          <w:sz w:val="20"/>
          <w:szCs w:val="20"/>
        </w:rPr>
      </w:pPr>
    </w:p>
    <w:p w14:paraId="000000B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SNS enables the body to react to stressors through the “fight-or-flight” response. This reaction primarily modulates blood vessels, which are tonically innervated. In most cases, an increase in sympathetic signals induces arteriolar vasoconstriction, whereas withdrawal of sympathetic tone permits vasodilation</w:t>
      </w:r>
    </w:p>
    <w:p w14:paraId="000000B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Exceptions to this pattern reflect local metabolic control and β2-receptor effects, particularly in skeletal muscle and the coronary circulation. In these regions, the net response during physiologic stress is vasodilation, despite concurrent α-mediated constriction. By contrast, vasodilation of erectile tissue is predominantly mediated by the PNS, with sympathetic activity favoring vasoconstriction and ejaculation. This balance is regulated by α- and β-receptor activity and strong local metabolic influences.</w:t>
      </w:r>
    </w:p>
    <w:p w14:paraId="000000B6" w14:textId="77777777" w:rsidR="003D1844" w:rsidRDefault="003D1844">
      <w:pPr>
        <w:rPr>
          <w:rFonts w:ascii="Calibri" w:eastAsia="Calibri" w:hAnsi="Calibri" w:cs="Calibri"/>
          <w:i/>
          <w:iCs/>
          <w:sz w:val="20"/>
          <w:szCs w:val="20"/>
        </w:rPr>
      </w:pPr>
    </w:p>
    <w:p w14:paraId="000000B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Under physiologic conditions, β-receptor stimulation promotes coronary vessel dilation, but this effect is partially offset by α-receptor-mediated vasoconstriction. In pathologic states, such as coronary artery disease, α-receptor activity is enhanced and β-receptor-mediated vasodilation is attenuated. Consequently, coronary arteries may constrict in response to sympathetic stimulation.[19] Sympathetic activation also increases heart rate and contractile force, which raises metabolic demand and may exacerbate cardiac dysfunction in compromised individuals.</w:t>
      </w:r>
    </w:p>
    <w:p w14:paraId="000000B8" w14:textId="77777777" w:rsidR="003D1844" w:rsidRDefault="003D1844">
      <w:pPr>
        <w:rPr>
          <w:rFonts w:ascii="Calibri" w:eastAsia="Calibri" w:hAnsi="Calibri" w:cs="Calibri"/>
          <w:i/>
          <w:iCs/>
          <w:sz w:val="20"/>
          <w:szCs w:val="20"/>
        </w:rPr>
      </w:pPr>
    </w:p>
    <w:p w14:paraId="000000B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The SNS also regulates immune function through innervation of immune organs, including the spleen, thymus, and lymph nodes.[22] Sympathetic input can upregulate or downregulate inflammatory responses.[23] Cells of the adaptive immune system predominantly express β2-receptors, whereas innate immune cells express β2-, α1-, and α2-receptors.[24] Macrophage activity is enhanced by α2-receptor stimulation and suppressed by β2-receptor activation. </w:t>
      </w:r>
    </w:p>
    <w:p w14:paraId="000000BA" w14:textId="77777777" w:rsidR="003D1844" w:rsidRDefault="003D1844">
      <w:pPr>
        <w:rPr>
          <w:rFonts w:ascii="Calibri" w:eastAsia="Calibri" w:hAnsi="Calibri" w:cs="Calibri"/>
          <w:i/>
          <w:iCs/>
          <w:sz w:val="20"/>
          <w:szCs w:val="20"/>
        </w:rPr>
      </w:pPr>
    </w:p>
    <w:p w14:paraId="000000B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F4: </w:t>
      </w:r>
    </w:p>
    <w:p w14:paraId="000000B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These effects (of flight or fight)  help in situations where one might need to think or act quickly. They improve eyesight, reflexes, endurance and strength. SNS also activates at times when the body's under strain, like when exercising or sick.</w:t>
      </w:r>
    </w:p>
    <w:p w14:paraId="000000BD" w14:textId="77777777" w:rsidR="003D1844" w:rsidRDefault="003D1844">
      <w:pPr>
        <w:rPr>
          <w:rFonts w:ascii="Calibri" w:eastAsia="Calibri" w:hAnsi="Calibri" w:cs="Calibri"/>
          <w:i/>
          <w:iCs/>
          <w:sz w:val="20"/>
          <w:szCs w:val="20"/>
        </w:rPr>
      </w:pPr>
    </w:p>
    <w:p w14:paraId="000000B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Your sympathetic nervous system activity also affects your immune system and your body’s repair processes. These effects can help your body start repairs on an injury quickly if you get hurt.</w:t>
      </w:r>
    </w:p>
    <w:p w14:paraId="000000BF" w14:textId="77777777" w:rsidR="003D1844" w:rsidRDefault="003D1844">
      <w:pPr>
        <w:rPr>
          <w:rFonts w:ascii="Calibri" w:eastAsia="Calibri" w:hAnsi="Calibri" w:cs="Calibri"/>
          <w:i/>
          <w:iCs/>
          <w:sz w:val="20"/>
          <w:szCs w:val="20"/>
        </w:rPr>
      </w:pPr>
    </w:p>
    <w:p w14:paraId="000000C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F1: </w:t>
      </w:r>
      <w:hyperlink r:id="rId21">
        <w:r>
          <w:rPr>
            <w:rFonts w:ascii="Calibri" w:eastAsia="Calibri" w:hAnsi="Calibri" w:cs="Calibri"/>
            <w:i/>
            <w:iCs/>
            <w:color w:val="1155CC"/>
            <w:sz w:val="20"/>
            <w:szCs w:val="20"/>
            <w:u w:val="single"/>
          </w:rPr>
          <w:t>https://www.sciencedirect.com/science/article/abs/pii/S0165032715306960</w:t>
        </w:r>
      </w:hyperlink>
      <w:r>
        <w:rPr>
          <w:rFonts w:ascii="Calibri" w:eastAsia="Calibri" w:hAnsi="Calibri" w:cs="Calibri"/>
          <w:i/>
          <w:iCs/>
          <w:sz w:val="20"/>
          <w:szCs w:val="20"/>
        </w:rPr>
        <w:t xml:space="preserve"> </w:t>
      </w:r>
    </w:p>
    <w:p w14:paraId="000000C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F2: </w:t>
      </w:r>
      <w:hyperlink r:id="rId22">
        <w:r>
          <w:rPr>
            <w:rFonts w:ascii="Calibri" w:eastAsia="Calibri" w:hAnsi="Calibri" w:cs="Calibri"/>
            <w:i/>
            <w:iCs/>
            <w:color w:val="1155CC"/>
            <w:sz w:val="20"/>
            <w:szCs w:val="20"/>
            <w:u w:val="single"/>
          </w:rPr>
          <w:t>https://my.clevelandclinic.org/health/body/21202-nervous-system</w:t>
        </w:r>
      </w:hyperlink>
      <w:r>
        <w:rPr>
          <w:rFonts w:ascii="Calibri" w:eastAsia="Calibri" w:hAnsi="Calibri" w:cs="Calibri"/>
          <w:i/>
          <w:iCs/>
          <w:sz w:val="20"/>
          <w:szCs w:val="20"/>
        </w:rPr>
        <w:t xml:space="preserve"> </w:t>
      </w:r>
    </w:p>
    <w:p w14:paraId="000000C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F3: </w:t>
      </w:r>
      <w:hyperlink r:id="rId23">
        <w:r>
          <w:rPr>
            <w:rFonts w:ascii="Calibri" w:eastAsia="Calibri" w:hAnsi="Calibri" w:cs="Calibri"/>
            <w:i/>
            <w:iCs/>
            <w:color w:val="1155CC"/>
            <w:sz w:val="20"/>
            <w:szCs w:val="20"/>
            <w:u w:val="single"/>
          </w:rPr>
          <w:t>https://www.ncbi.nlm.nih.gov/books/NBK539845/</w:t>
        </w:r>
      </w:hyperlink>
      <w:r>
        <w:rPr>
          <w:rFonts w:ascii="Calibri" w:eastAsia="Calibri" w:hAnsi="Calibri" w:cs="Calibri"/>
          <w:i/>
          <w:iCs/>
          <w:sz w:val="20"/>
          <w:szCs w:val="20"/>
        </w:rPr>
        <w:t xml:space="preserve"> </w:t>
      </w:r>
    </w:p>
    <w:p w14:paraId="000000C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F44: </w:t>
      </w:r>
      <w:hyperlink r:id="rId24">
        <w:r>
          <w:rPr>
            <w:rFonts w:ascii="Calibri" w:eastAsia="Calibri" w:hAnsi="Calibri" w:cs="Calibri"/>
            <w:i/>
            <w:iCs/>
            <w:color w:val="1155CC"/>
            <w:sz w:val="20"/>
            <w:szCs w:val="20"/>
            <w:u w:val="single"/>
          </w:rPr>
          <w:t>https://my.clevelandclinic.org/health/body/23262-sympathetic-nervous-system-sns-fight-or-flight</w:t>
        </w:r>
      </w:hyperlink>
      <w:r>
        <w:rPr>
          <w:rFonts w:ascii="Calibri" w:eastAsia="Calibri" w:hAnsi="Calibri" w:cs="Calibri"/>
          <w:i/>
          <w:iCs/>
          <w:sz w:val="20"/>
          <w:szCs w:val="20"/>
        </w:rPr>
        <w:t xml:space="preserve"> </w:t>
      </w:r>
    </w:p>
    <w:p w14:paraId="000000C4" w14:textId="77777777" w:rsidR="003D1844" w:rsidRDefault="003D1844">
      <w:pPr>
        <w:rPr>
          <w:rFonts w:ascii="Calibri" w:eastAsia="Calibri" w:hAnsi="Calibri" w:cs="Calibri"/>
        </w:rPr>
      </w:pPr>
    </w:p>
    <w:p w14:paraId="000000C5" w14:textId="77777777" w:rsidR="003D1844" w:rsidRDefault="003D1844">
      <w:pPr>
        <w:rPr>
          <w:rFonts w:ascii="Calibri" w:eastAsia="Calibri" w:hAnsi="Calibri" w:cs="Calibri"/>
        </w:rPr>
      </w:pPr>
    </w:p>
    <w:p w14:paraId="000000C6" w14:textId="77777777" w:rsidR="003D1844" w:rsidRDefault="00000000">
      <w:pPr>
        <w:rPr>
          <w:rFonts w:ascii="Calibri" w:eastAsia="Calibri" w:hAnsi="Calibri" w:cs="Calibri"/>
        </w:rPr>
      </w:pPr>
      <w:r>
        <w:rPr>
          <w:rFonts w:ascii="Karla" w:eastAsia="Karla" w:hAnsi="Karla" w:cs="Karla"/>
          <w:sz w:val="26"/>
          <w:szCs w:val="26"/>
        </w:rPr>
        <w:lastRenderedPageBreak/>
        <w:t>February 9, 2026</w:t>
      </w:r>
    </w:p>
    <w:p w14:paraId="000000C7" w14:textId="77777777" w:rsidR="003D1844" w:rsidRDefault="00000000">
      <w:pPr>
        <w:numPr>
          <w:ilvl w:val="0"/>
          <w:numId w:val="4"/>
        </w:numPr>
        <w:rPr>
          <w:rFonts w:ascii="Calibri" w:eastAsia="Calibri" w:hAnsi="Calibri" w:cs="Calibri"/>
        </w:rPr>
      </w:pPr>
      <w:r>
        <w:rPr>
          <w:rFonts w:ascii="Calibri" w:eastAsia="Calibri" w:hAnsi="Calibri" w:cs="Calibri"/>
        </w:rPr>
        <w:t>Attended the science fair meeting.</w:t>
      </w:r>
    </w:p>
    <w:p w14:paraId="000000C8" w14:textId="77777777" w:rsidR="003D1844" w:rsidRDefault="003D1844">
      <w:pPr>
        <w:rPr>
          <w:rFonts w:ascii="Calibri" w:eastAsia="Calibri" w:hAnsi="Calibri" w:cs="Calibri"/>
        </w:rPr>
      </w:pPr>
    </w:p>
    <w:p w14:paraId="000000C9" w14:textId="77777777" w:rsidR="003D1844" w:rsidRDefault="00000000">
      <w:pPr>
        <w:rPr>
          <w:rFonts w:ascii="Calibri" w:eastAsia="Calibri" w:hAnsi="Calibri" w:cs="Calibri"/>
          <w:sz w:val="20"/>
          <w:szCs w:val="20"/>
        </w:rPr>
      </w:pPr>
      <w:r>
        <w:rPr>
          <w:rFonts w:ascii="Karla" w:eastAsia="Karla" w:hAnsi="Karla" w:cs="Karla"/>
          <w:sz w:val="26"/>
          <w:szCs w:val="26"/>
        </w:rPr>
        <w:t>February 11, 2026</w:t>
      </w:r>
    </w:p>
    <w:p w14:paraId="000000CA" w14:textId="77777777" w:rsidR="003D1844" w:rsidRDefault="00000000">
      <w:pPr>
        <w:numPr>
          <w:ilvl w:val="0"/>
          <w:numId w:val="4"/>
        </w:numPr>
        <w:rPr>
          <w:rFonts w:ascii="Calibri" w:eastAsia="Calibri" w:hAnsi="Calibri" w:cs="Calibri"/>
        </w:rPr>
      </w:pPr>
      <w:r>
        <w:rPr>
          <w:rFonts w:ascii="Calibri" w:eastAsia="Calibri" w:hAnsi="Calibri" w:cs="Calibri"/>
        </w:rPr>
        <w:t>Researched how people differ in their responses, why they do, and some factors involved (grit, self-efficacy, emotional regulation, persistence, mindset, coping type, environmental/psychological impacts). Also researched academic flow, academic thriving.</w:t>
      </w:r>
    </w:p>
    <w:p w14:paraId="000000CB"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F1: To explain why some learners show adaptive affective and motivational reactions and learn from failure while others do not, researchers have examined contextual (Steuer et al., 2013) and individual factors that may influence the tendency to learn from failure (Tulis et al., 2015). Individual factors include achievement goals (Boekaerts, 2006; Dweck &amp; Leggett, 1988), attitudes to errors (Tulis &amp; Ainley, 2011), self-concept (Tulis et al., 2018), coping strategies (Raftery-Helmer &amp; Grolnick, 2016) and aspects of self-regulated learning (Boekaerts &amp; Cascallar, 2006; Pintrich &amp; Schunk, 2002). Given how likely negative emotions are to accompany failure, it is surprising that empirical research on styles of emotion regulation is so sparse (Tulis et al., 2015). Scholars have examined emotional responses as possible determinants of learning from failure (Boekaerts, 2002; Dresel &amp; Ziegler, 2002) and revealed practices of coping with stress (Raftery-Helmer &amp; Grolnick, 2016), but styles of emotion regulation are relatively neglected (Tulis et al., 2015).</w:t>
      </w:r>
    </w:p>
    <w:p w14:paraId="000000CC" w14:textId="77777777" w:rsidR="003D1844" w:rsidRDefault="003D1844">
      <w:pPr>
        <w:numPr>
          <w:ilvl w:val="0"/>
          <w:numId w:val="4"/>
        </w:numPr>
        <w:rPr>
          <w:rFonts w:ascii="Calibri" w:eastAsia="Calibri" w:hAnsi="Calibri" w:cs="Calibri"/>
        </w:rPr>
      </w:pPr>
    </w:p>
    <w:p w14:paraId="000000CD"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Individuals can better grasp the nature of situations, choose coping practices (Gratz &amp; Roemer, 2004) and adaptively react to failure when they have access to and accept both negative and positive feelings, whether through self-reflection or volitional sharing (Roth et al., 2019)</w:t>
      </w:r>
    </w:p>
    <w:p w14:paraId="000000CE" w14:textId="77777777" w:rsidR="003D1844" w:rsidRDefault="003D1844">
      <w:pPr>
        <w:numPr>
          <w:ilvl w:val="0"/>
          <w:numId w:val="4"/>
        </w:numPr>
        <w:rPr>
          <w:rFonts w:ascii="Calibri" w:eastAsia="Calibri" w:hAnsi="Calibri" w:cs="Calibri"/>
        </w:rPr>
      </w:pPr>
    </w:p>
    <w:p w14:paraId="000000CF"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 xml:space="preserve">Being able to regulate one's emotional experience and expression fosters adaptive behaviour (Beauchaine, 2015), but difficulty doing so can generate maladjustment (Cole et al., 2013). Accordingly, </w:t>
      </w:r>
      <w:r>
        <w:rPr>
          <w:rFonts w:ascii="Calibri" w:eastAsia="Calibri" w:hAnsi="Calibri" w:cs="Calibri"/>
          <w:b/>
          <w:bCs/>
          <w:i/>
          <w:iCs/>
          <w:sz w:val="20"/>
          <w:szCs w:val="20"/>
        </w:rPr>
        <w:t xml:space="preserve">emotion regulation and coping </w:t>
      </w:r>
      <w:r>
        <w:rPr>
          <w:rFonts w:ascii="Calibri" w:eastAsia="Calibri" w:hAnsi="Calibri" w:cs="Calibri"/>
          <w:i/>
          <w:iCs/>
          <w:sz w:val="20"/>
          <w:szCs w:val="20"/>
        </w:rPr>
        <w:t>are key predictors of wellness (Weinstein et al., 2009). In the last decade, research has demonstrated the importance of the SDT conceptualization of adaptive emotion regulation to adaptive psychological development and growth, making SDT especially relevant to education and learning (Roth et al., 2019; Roth &amp; Benita, 2023).</w:t>
      </w:r>
    </w:p>
    <w:p w14:paraId="000000D0" w14:textId="77777777" w:rsidR="003D1844" w:rsidRDefault="003D1844">
      <w:pPr>
        <w:numPr>
          <w:ilvl w:val="0"/>
          <w:numId w:val="4"/>
        </w:numPr>
        <w:rPr>
          <w:rFonts w:ascii="Calibri" w:eastAsia="Calibri" w:hAnsi="Calibri" w:cs="Calibri"/>
        </w:rPr>
      </w:pPr>
    </w:p>
    <w:p w14:paraId="000000D1"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People differ not only in the nature and intensity of their emotions but also in their motivational responses to them. SDT distinguishes between autonomous and controlled emotion regulation (Roth et al., 2009). Autonomous regulation is imperative for healthy development and characterizes full functioning and effective self-regulation (Ryan et al., 2016). Central characteristics of autonomous functioning are a lack of internal conflict, increased flexibility and a greater sense of well-being. In contrast, autonomy disturbances are manifested in forms of distress and psychopathology (Ryan, 2005).</w:t>
      </w:r>
    </w:p>
    <w:p w14:paraId="000000D2" w14:textId="77777777" w:rsidR="003D1844" w:rsidRDefault="003D1844">
      <w:pPr>
        <w:numPr>
          <w:ilvl w:val="0"/>
          <w:numId w:val="4"/>
        </w:numPr>
        <w:rPr>
          <w:rFonts w:ascii="Calibri" w:eastAsia="Calibri" w:hAnsi="Calibri" w:cs="Calibri"/>
        </w:rPr>
      </w:pPr>
    </w:p>
    <w:p w14:paraId="000000D3"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SDT defines three styles of emotion regulation (Deci &amp; Ryan, 1985; Ryan &amp; Deci, 2017): (1) an integrative approach supporting autonomy, (2) a controlled approach directing or minimizing emotional inputs and (3) an amotivated or dysregulated approach with poorly managed emotions (Roth &amp; Benita, 2023). They differ in their quality and depth in processing emotions and in their respective consequences.</w:t>
      </w:r>
    </w:p>
    <w:p w14:paraId="000000D4" w14:textId="77777777" w:rsidR="003D1844" w:rsidRDefault="003D1844">
      <w:pPr>
        <w:numPr>
          <w:ilvl w:val="0"/>
          <w:numId w:val="4"/>
        </w:numPr>
        <w:rPr>
          <w:rFonts w:ascii="Calibri" w:eastAsia="Calibri" w:hAnsi="Calibri" w:cs="Calibri"/>
        </w:rPr>
      </w:pPr>
    </w:p>
    <w:p w14:paraId="000000D5"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 xml:space="preserve">Integrative emotion regulation (IER) is considered the most mature and adaptive form of regulation (Ryan et al., 2016). IER is an intrapersonal emotion regulation style with two components. First, consistent with </w:t>
      </w:r>
      <w:r>
        <w:rPr>
          <w:rFonts w:ascii="Calibri" w:eastAsia="Calibri" w:hAnsi="Calibri" w:cs="Calibri"/>
          <w:i/>
          <w:iCs/>
          <w:sz w:val="20"/>
          <w:szCs w:val="20"/>
        </w:rPr>
        <w:lastRenderedPageBreak/>
        <w:t>mindfulness (Brown &amp; Ryan, 2003), it involves nonjudgmental, receptive attention to an emotional experience. Emotional inputs are attended to without distortion, minimization or avoidance. Second, IER involves active interest in and volitional exploration of the experience and its relations to other aspects of self, like goals, values and preferences (Roth &amp; Benita, 2023). Emotions are actively explored to grasp their meaning and importance to the self. Having gained awareness of the experience and its potential meaning or value, the individual can make informed choices in subsequent actions, entailing either the volitional expression of emotions, thereby relying on others as a source of emotional support (Ryan, 2005), or volitional withholding (Kim et al., 2002). Consistent with such theorizing, IER has been found to relate positively to openness to experience, authenticity, reflection (Roth, Shahar, et al., 2017; Roth, Shane, &amp; Kanat-Maymon, 2017) and well-being (Brenning et al., 2015). We argued the active exploration of negative emotions in situations of failure may help learners approach these situations in an adaptive way that includes reflection and actions likely to promote learning, including seeking external support.</w:t>
      </w:r>
    </w:p>
    <w:p w14:paraId="000000D6" w14:textId="77777777" w:rsidR="003D1844" w:rsidRDefault="003D1844">
      <w:pPr>
        <w:numPr>
          <w:ilvl w:val="0"/>
          <w:numId w:val="4"/>
        </w:numPr>
        <w:rPr>
          <w:rFonts w:ascii="Calibri" w:eastAsia="Calibri" w:hAnsi="Calibri" w:cs="Calibri"/>
        </w:rPr>
      </w:pPr>
    </w:p>
    <w:p w14:paraId="000000D7"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Suppressive emotion regulation (SER) is a controlled style of regulation that involves minimization or avoidance of emotional experiences, perceiving them as pressuring and threatening, such as sadness, fear, anger or frustration (Gross, 2015; Roth &amp; Assor, 2012). Because the experience or/and expression of emotion is typically inhibited for controlled reasons, individuals high in SER may function in an inauthentic way and are less likely to turn to others for emotional support (Kim et al., 2002). High SER can impair the capacity to share personal issues or deal with negative emotions in relationships (Roth &amp; Assor, 2012; Shahar et al., 2018). Emotion suppression has, for example, been linked with higher levels of depression (Berenbaum et al., 1999). Furthermore, because the emotional experience is not openly attended to, it may resurface, causing rumination (Thomsen et al., 2011). In the context of learning from failure, it seems reasonable to assume the attempt to avoid negative emotional experiences (consciously or unconsciously) may lessen the possibility to learn from them. A student may, for example, avoid reading the teacher's feedback on an academic assignment because it may elicit the negative emotion she is consistently and effortfully trying to avoid. She may store the assignment deep in her backpack, promising herself to do better next time without learning from the mistakes she made.</w:t>
      </w:r>
    </w:p>
    <w:p w14:paraId="000000D8" w14:textId="77777777" w:rsidR="003D1844" w:rsidRDefault="003D1844">
      <w:pPr>
        <w:numPr>
          <w:ilvl w:val="0"/>
          <w:numId w:val="4"/>
        </w:numPr>
        <w:rPr>
          <w:rFonts w:ascii="Calibri" w:eastAsia="Calibri" w:hAnsi="Calibri" w:cs="Calibri"/>
        </w:rPr>
      </w:pPr>
    </w:p>
    <w:p w14:paraId="000000D9"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While both IER and SER entail orienting oneself to one's emotions, the former is more volitional, and the latter more controlled. In emotion dysregulation, a person feels incapable of managing emotions, experiencing them as overwhelming and/or disorganizing; consequently, they impede effective functioning. Because of their overpowering nature, emotions may be expressed in unmodulated or impulsive ways or withheld. Emotion dysregulation can entail not only greater subjective distress and self-harming behaviour (e.g. Emery et al., 2016) but also greater peer rejection because of expressive outbursts, disruptions or withdrawal (e.g. Shields et al., 1994). The individual, when dysregulated, whether expressing or withholding emotions, seems to have little choice in behaviour, thus generating relational tensions and subjective ill-being (Moed et al., 2017; Roth et al., 2009; Roth &amp; Assor, 2012). We argued that as dysregulation involves maladaptive task-oriented functioning (Roth et al., 2014), it could interfere with intentional learning from failure.</w:t>
      </w:r>
    </w:p>
    <w:p w14:paraId="000000DA" w14:textId="77777777" w:rsidR="003D1844" w:rsidRDefault="003D1844">
      <w:pPr>
        <w:numPr>
          <w:ilvl w:val="0"/>
          <w:numId w:val="4"/>
        </w:numPr>
        <w:rPr>
          <w:rFonts w:ascii="Calibri" w:eastAsia="Calibri" w:hAnsi="Calibri" w:cs="Calibri"/>
        </w:rPr>
      </w:pPr>
    </w:p>
    <w:p w14:paraId="000000DB"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 xml:space="preserve">Over the last decade, a consistent body of research has demonstrated the adaptive role of IER in human psychological functioning and growth (Roth et al., 2019; Roth &amp; Benita, 2023), suggesting the relevance of SDT's conceptualization of emotion regulation to education and learning. For example, IER is negatively related to the defensive processing of emotions and predicts better cognitive functioning in situations eliciting negative emotions (Roth et al., 2014; Roth, Shahar, et al., 2017; Roth, Shane, &amp; Kanat-Maymon, </w:t>
      </w:r>
      <w:r>
        <w:rPr>
          <w:rFonts w:ascii="Calibri" w:eastAsia="Calibri" w:hAnsi="Calibri" w:cs="Calibri"/>
          <w:i/>
          <w:iCs/>
          <w:sz w:val="20"/>
          <w:szCs w:val="20"/>
        </w:rPr>
        <w:lastRenderedPageBreak/>
        <w:t>2017) and better goal pursuit (Benita et al., 2021). When pursuing goals, people often face setbacks that are likely to elicit negative emotions (Babij et al., 2020). Efforts to regulate these emotions may help them use the emotional experience as information to achieve their goals without becoming overwhelmed. Benita (2020), Benita et al. (2021) found that during goal pursuit, IER in the face of goal-related setbacks positively predicted goal progress through goal-related effort. In contrast, SER negatively predicted goal progress through goal-related depressed mood. A consistent association between IER and well-being has also been reported (Benita, 2020; Brenning et al., 2015; Van der Kaap-Deeder et al., 2020).</w:t>
      </w:r>
    </w:p>
    <w:p w14:paraId="000000DC" w14:textId="77777777" w:rsidR="003D1844" w:rsidRDefault="003D1844">
      <w:pPr>
        <w:numPr>
          <w:ilvl w:val="0"/>
          <w:numId w:val="4"/>
        </w:numPr>
        <w:rPr>
          <w:rFonts w:ascii="Calibri" w:eastAsia="Calibri" w:hAnsi="Calibri" w:cs="Calibri"/>
        </w:rPr>
      </w:pPr>
    </w:p>
    <w:p w14:paraId="000000DD" w14:textId="77777777" w:rsidR="003D1844" w:rsidRDefault="003D1844">
      <w:pPr>
        <w:numPr>
          <w:ilvl w:val="0"/>
          <w:numId w:val="4"/>
        </w:numPr>
        <w:rPr>
          <w:rFonts w:ascii="Calibri" w:eastAsia="Calibri" w:hAnsi="Calibri" w:cs="Calibri"/>
        </w:rPr>
      </w:pPr>
    </w:p>
    <w:p w14:paraId="000000DE" w14:textId="77777777" w:rsidR="003D1844" w:rsidRDefault="00000000">
      <w:pPr>
        <w:numPr>
          <w:ilvl w:val="0"/>
          <w:numId w:val="4"/>
        </w:numPr>
        <w:rPr>
          <w:rFonts w:ascii="Calibri" w:eastAsia="Calibri" w:hAnsi="Calibri" w:cs="Calibri"/>
        </w:rPr>
      </w:pPr>
      <w:r>
        <w:rPr>
          <w:rFonts w:ascii="Calibri" w:eastAsia="Calibri" w:hAnsi="Calibri" w:cs="Calibri"/>
          <w:i/>
          <w:iCs/>
          <w:sz w:val="20"/>
          <w:szCs w:val="20"/>
        </w:rPr>
        <w:t xml:space="preserve">F1 </w:t>
      </w:r>
      <w:hyperlink r:id="rId25">
        <w:r>
          <w:rPr>
            <w:rFonts w:ascii="Calibri" w:eastAsia="Calibri" w:hAnsi="Calibri" w:cs="Calibri"/>
            <w:i/>
            <w:iCs/>
            <w:color w:val="1155CC"/>
            <w:sz w:val="20"/>
            <w:szCs w:val="20"/>
            <w:u w:val="single"/>
          </w:rPr>
          <w:t>https://bpspsychub.onlinelibrary.wiley.com/doi/full/10.1111/bjep.12696</w:t>
        </w:r>
      </w:hyperlink>
    </w:p>
    <w:p w14:paraId="000000DF" w14:textId="77777777" w:rsidR="003D1844" w:rsidRDefault="003D1844">
      <w:pPr>
        <w:rPr>
          <w:rFonts w:ascii="Karla" w:eastAsia="Karla" w:hAnsi="Karla" w:cs="Karla"/>
          <w:sz w:val="26"/>
          <w:szCs w:val="26"/>
        </w:rPr>
      </w:pPr>
    </w:p>
    <w:p w14:paraId="000000E0" w14:textId="77777777" w:rsidR="003D1844" w:rsidRDefault="00000000">
      <w:pPr>
        <w:rPr>
          <w:rFonts w:ascii="Karla" w:eastAsia="Karla" w:hAnsi="Karla" w:cs="Karla"/>
          <w:sz w:val="26"/>
          <w:szCs w:val="26"/>
        </w:rPr>
      </w:pPr>
      <w:r>
        <w:rPr>
          <w:rFonts w:ascii="Karla" w:eastAsia="Karla" w:hAnsi="Karla" w:cs="Karla"/>
          <w:sz w:val="26"/>
          <w:szCs w:val="26"/>
        </w:rPr>
        <w:t>February 15, 2026</w:t>
      </w:r>
    </w:p>
    <w:p w14:paraId="000000E1" w14:textId="77777777" w:rsidR="003D1844" w:rsidRDefault="00000000">
      <w:pPr>
        <w:numPr>
          <w:ilvl w:val="0"/>
          <w:numId w:val="3"/>
        </w:numPr>
        <w:rPr>
          <w:rFonts w:ascii="Calibri" w:eastAsia="Calibri" w:hAnsi="Calibri" w:cs="Calibri"/>
        </w:rPr>
      </w:pPr>
      <w:r>
        <w:rPr>
          <w:rFonts w:ascii="Calibri" w:eastAsia="Calibri" w:hAnsi="Calibri" w:cs="Calibri"/>
        </w:rPr>
        <w:t>Finalized CYSF research by researching mindsets, deepening academic thriving/flow with adaptive/maladaptive coping responses, and additionally psychological disorders’ relation to types of responses to stress</w:t>
      </w:r>
    </w:p>
    <w:p w14:paraId="000000E2" w14:textId="77777777" w:rsidR="003D1844" w:rsidRDefault="00000000">
      <w:pPr>
        <w:numPr>
          <w:ilvl w:val="0"/>
          <w:numId w:val="3"/>
        </w:numPr>
        <w:rPr>
          <w:rFonts w:ascii="Calibri" w:eastAsia="Calibri" w:hAnsi="Calibri" w:cs="Calibri"/>
        </w:rPr>
      </w:pPr>
      <w:r>
        <w:rPr>
          <w:rFonts w:ascii="Calibri" w:eastAsia="Calibri" w:hAnsi="Calibri" w:cs="Calibri"/>
        </w:rPr>
        <w:t>Moved on to inputting information on CYSF</w:t>
      </w:r>
    </w:p>
    <w:p w14:paraId="000000E3" w14:textId="77777777" w:rsidR="003D1844" w:rsidRDefault="00000000">
      <w:pPr>
        <w:numPr>
          <w:ilvl w:val="0"/>
          <w:numId w:val="3"/>
        </w:numPr>
        <w:rPr>
          <w:rFonts w:ascii="Calibri" w:eastAsia="Calibri" w:hAnsi="Calibri" w:cs="Calibri"/>
        </w:rPr>
      </w:pPr>
      <w:r>
        <w:rPr>
          <w:rFonts w:ascii="Calibri" w:eastAsia="Calibri" w:hAnsi="Calibri" w:cs="Calibri"/>
        </w:rPr>
        <w:t xml:space="preserve">Went to the science fair coordinator in the morning to ask about how to answer each section of the CYSF website. </w:t>
      </w:r>
    </w:p>
    <w:p w14:paraId="000000E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F1: Dweck and Leggett (1988) compared two types of mindsets: growth mindset, wherein the person believes that certain attributes (e.g., intelligence) are inherently malleable and can be changed, and fixed mindset, in which the person believes that a certain attribute is an unchangeable, static trait. Individuals vacillate across a spectrum with growth mindset at one pole and fixed mindset at the other (Dweck and Leggett, 1988). Research has largely placed an emphasis on developing interventions to foster growth mindsets in children and adolescents (Dweck and Yeager, 2019).</w:t>
      </w:r>
    </w:p>
    <w:p w14:paraId="000000E5" w14:textId="77777777" w:rsidR="003D1844" w:rsidRDefault="003D1844">
      <w:pPr>
        <w:rPr>
          <w:rFonts w:ascii="Calibri" w:eastAsia="Calibri" w:hAnsi="Calibri" w:cs="Calibri"/>
          <w:i/>
          <w:iCs/>
          <w:sz w:val="20"/>
          <w:szCs w:val="20"/>
        </w:rPr>
      </w:pPr>
    </w:p>
    <w:p w14:paraId="000000E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People hold mindsets across many unique domains including intelligence (e.g., Dweck and Leggett, 1988), morality (e.g., Chiu et al., 1997), ability (e.g., Wang et al., 2018), and emotion (e.g., Tamir et al., 2007).</w:t>
      </w:r>
    </w:p>
    <w:p w14:paraId="000000E7" w14:textId="77777777" w:rsidR="003D1844" w:rsidRDefault="003D1844">
      <w:pPr>
        <w:rPr>
          <w:rFonts w:ascii="Calibri" w:eastAsia="Calibri" w:hAnsi="Calibri" w:cs="Calibri"/>
          <w:i/>
          <w:iCs/>
          <w:sz w:val="20"/>
          <w:szCs w:val="20"/>
        </w:rPr>
      </w:pPr>
    </w:p>
    <w:p w14:paraId="000000E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way people organize their goals within the self-system, regulate their behavior and emotions in the pursuit of goals, and flourish in a given domain is largely dependent on their mindsets, with a more growth mindset typically predicting higher goal achievement</w:t>
      </w:r>
    </w:p>
    <w:p w14:paraId="000000E9" w14:textId="77777777" w:rsidR="003D1844" w:rsidRDefault="003D1844">
      <w:pPr>
        <w:rPr>
          <w:rFonts w:ascii="Calibri" w:eastAsia="Calibri" w:hAnsi="Calibri" w:cs="Calibri"/>
          <w:i/>
          <w:iCs/>
          <w:sz w:val="20"/>
          <w:szCs w:val="20"/>
        </w:rPr>
      </w:pPr>
    </w:p>
    <w:p w14:paraId="000000E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F2: While mindsets can be helpful for distilling information and managing expectations, they can also be maladaptive, lead to interpersonal problems and feelings of guilt, inadequacy, sadness and anxiety. Dr. Towery observes that it is common to hold onto mindsets that were adaptive at one point in life but have since become maladaptive. For example, it might have been helpful to believe that others cannot be trusted if you were betrayed at a young age, but this belief may lead to interpersonal issues at a later stage of life.</w:t>
      </w:r>
    </w:p>
    <w:p w14:paraId="000000EB" w14:textId="77777777" w:rsidR="003D1844" w:rsidRDefault="003D1844">
      <w:pPr>
        <w:rPr>
          <w:rFonts w:ascii="Calibri" w:eastAsia="Calibri" w:hAnsi="Calibri" w:cs="Calibri"/>
          <w:i/>
          <w:iCs/>
          <w:sz w:val="20"/>
          <w:szCs w:val="20"/>
        </w:rPr>
      </w:pPr>
    </w:p>
    <w:p w14:paraId="000000E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You may have heard of “fixed” and “growth” mindsets. These terms were coined by Stanford researcher and professor Carol Dweck, PhD, to describe belief systems about your ability to change, grow, and develop over time. If you believe your qualities are essentially unchangeable or “fixed,” you may be less open to mistakes because setbacks are seen as inherent and impinging on future success. For example, if you have a fixed mindset and have trouble connecting with others at an event, you may see this as evidence that you will never be able to socially connect, leading to social anxiety and avoidance. </w:t>
      </w:r>
    </w:p>
    <w:p w14:paraId="000000ED" w14:textId="77777777" w:rsidR="003D1844" w:rsidRDefault="003D1844">
      <w:pPr>
        <w:rPr>
          <w:rFonts w:ascii="Calibri" w:eastAsia="Calibri" w:hAnsi="Calibri" w:cs="Calibri"/>
          <w:i/>
          <w:iCs/>
          <w:sz w:val="20"/>
          <w:szCs w:val="20"/>
        </w:rPr>
      </w:pPr>
    </w:p>
    <w:p w14:paraId="000000E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With a growth mindset, you know that you can change over time, and therefore you are more open to reflect, learn, and grow from challenges. Because failure is less threatening, you are more willing to embrace life’s challenges, take feedback as a learning opportunity, and continue to learn and grow throughout life. With a growth mindset, you are also less likely to personalize setbacks. For example, in the scenario above, you might reflect that the cause of your social difficulty had more to do with the environment at the event than a personal inability to socialize.</w:t>
      </w:r>
    </w:p>
    <w:p w14:paraId="000000EF" w14:textId="77777777" w:rsidR="003D1844" w:rsidRDefault="003D1844">
      <w:pPr>
        <w:rPr>
          <w:rFonts w:ascii="Calibri" w:eastAsia="Calibri" w:hAnsi="Calibri" w:cs="Calibri"/>
          <w:i/>
          <w:iCs/>
          <w:sz w:val="20"/>
          <w:szCs w:val="20"/>
        </w:rPr>
      </w:pPr>
    </w:p>
    <w:p w14:paraId="000000F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With a fixed mindset, it can be hard to find motivation to work through perceived weaknesses, because the ability to change may seem as hopeless as changing your eye color. In contrast, with a growth mindset, you’ll see your perceived weakness as a challenge that can be motivating – and even fun – to overcome. </w:t>
      </w:r>
    </w:p>
    <w:p w14:paraId="000000F1" w14:textId="77777777" w:rsidR="003D1844" w:rsidRDefault="003D1844">
      <w:pPr>
        <w:rPr>
          <w:rFonts w:ascii="Calibri" w:eastAsia="Calibri" w:hAnsi="Calibri" w:cs="Calibri"/>
          <w:i/>
          <w:iCs/>
          <w:sz w:val="20"/>
          <w:szCs w:val="20"/>
        </w:rPr>
      </w:pPr>
    </w:p>
    <w:p w14:paraId="000000F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Dr. Towery points out the impact of mindset on the effect of medications. “There is a powerful phenomenon in medicine known as the placebo effect, in which if someone believes they are going to derive benefits from taking a particular medication, they often do. In fact, regardless of the disease or condition, about 30-40% of people can have significant improvement in their symptoms even when taking a placebo [sugar] pill, if they believe that the pill is going to be helpful.”</w:t>
      </w:r>
    </w:p>
    <w:p w14:paraId="000000F3" w14:textId="77777777" w:rsidR="003D1844" w:rsidRDefault="003D1844">
      <w:pPr>
        <w:rPr>
          <w:rFonts w:ascii="Calibri" w:eastAsia="Calibri" w:hAnsi="Calibri" w:cs="Calibri"/>
          <w:i/>
          <w:iCs/>
          <w:sz w:val="20"/>
          <w:szCs w:val="20"/>
        </w:rPr>
      </w:pPr>
    </w:p>
    <w:p w14:paraId="000000F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“Equally fascinating,” Towery observes, “is the ‘nocebo-effect,’ a psychological response based on a person’s expectations around side effects. When a physician emphasizes the potential side effects of a medicine, and the patient believes they will develop those symptoms, even if given a sugar pill, these patients can develop the adverse side effects, just based on what their mind expects.”</w:t>
      </w:r>
    </w:p>
    <w:p w14:paraId="000000F5" w14:textId="77777777" w:rsidR="003D1844" w:rsidRDefault="003D1844">
      <w:pPr>
        <w:rPr>
          <w:rFonts w:ascii="Calibri" w:eastAsia="Calibri" w:hAnsi="Calibri" w:cs="Calibri"/>
          <w:i/>
          <w:iCs/>
          <w:sz w:val="20"/>
          <w:szCs w:val="20"/>
        </w:rPr>
      </w:pPr>
    </w:p>
    <w:p w14:paraId="000000F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Although your mindset about topics like appearance and success are largely influenced by outside factors, the brain is neuroplastic, meaning neural networks can continue to grow, change, and reorganize throughout the lifespan. By challenging yourself with new experiences and perspectives, you can form new neural connections – or mindsets – at any point in life.</w:t>
      </w:r>
    </w:p>
    <w:p w14:paraId="000000F7" w14:textId="77777777" w:rsidR="003D1844" w:rsidRDefault="003D1844">
      <w:pPr>
        <w:rPr>
          <w:rFonts w:ascii="Calibri" w:eastAsia="Calibri" w:hAnsi="Calibri" w:cs="Calibri"/>
          <w:i/>
          <w:iCs/>
          <w:sz w:val="20"/>
          <w:szCs w:val="20"/>
        </w:rPr>
      </w:pPr>
    </w:p>
    <w:p w14:paraId="000000F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Even a fixed mindset is not set in stone. You can change your mindset by learning and consciously choosing to believe that your characteristics are not predetermined and that you can continue to grow over time.</w:t>
      </w:r>
    </w:p>
    <w:p w14:paraId="000000F9" w14:textId="77777777" w:rsidR="003D1844" w:rsidRDefault="003D1844">
      <w:pPr>
        <w:rPr>
          <w:rFonts w:ascii="Calibri" w:eastAsia="Calibri" w:hAnsi="Calibri" w:cs="Calibri"/>
          <w:i/>
          <w:iCs/>
          <w:sz w:val="20"/>
          <w:szCs w:val="20"/>
        </w:rPr>
      </w:pPr>
    </w:p>
    <w:p w14:paraId="000000F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According to Towery, “The exciting news about mindsets is that they are absolutely changeable. The entire field of cognitive therapy is based on the idea that thoughts determine feelings and that you can learn powerful techniques to modify distorted thoughts and self-defeating beliefs. For those that want to learn how, I recommend reading the book Feeling Great by David Burns, MD, and doing all of the writing sections.  A competent cognitive therapist can also teach you how to change your mindset, even in a small number of sessions.”</w:t>
      </w:r>
    </w:p>
    <w:p w14:paraId="000000FB" w14:textId="77777777" w:rsidR="003D1844" w:rsidRDefault="003D1844">
      <w:pPr>
        <w:rPr>
          <w:rFonts w:ascii="Calibri" w:eastAsia="Calibri" w:hAnsi="Calibri" w:cs="Calibri"/>
          <w:i/>
          <w:iCs/>
          <w:sz w:val="20"/>
          <w:szCs w:val="20"/>
        </w:rPr>
      </w:pPr>
    </w:p>
    <w:p w14:paraId="000000F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F3: Cross-sectional studies of emotion regulation have identified relationships between psychopathology and greater use of maladaptive emotion regulation. Strategies are considered maladaptive when they fail to modulate the intensity of an emotional experience, despite an individual's intention to the contrary (Gross, 1998). For example, rumination, defined as passive focus on one's symptoms and their causes and consequences, has been shown to exacerbate negative moods (Nolen-Hoeksema, 1991). Similarly, both deliberately pushing away emotional thoughts and suppressing the outward expression of emotions are considered ineffective emotion regulation strategies because they are often unsuccessful at reducing negative emotions (Gross, 1998) or, in the case of thought suppression, can create paradoxical rebound effects where the suppressed emotion returns with greater frequency and intensity (Wegner, Schneider, </w:t>
      </w:r>
      <w:r>
        <w:rPr>
          <w:rFonts w:ascii="Calibri" w:eastAsia="Calibri" w:hAnsi="Calibri" w:cs="Calibri"/>
          <w:i/>
          <w:iCs/>
          <w:sz w:val="20"/>
          <w:szCs w:val="20"/>
          <w:u w:val="single"/>
        </w:rPr>
        <w:t>Carter</w:t>
      </w:r>
      <w:r>
        <w:rPr>
          <w:rFonts w:ascii="Calibri" w:eastAsia="Calibri" w:hAnsi="Calibri" w:cs="Calibri"/>
          <w:i/>
          <w:iCs/>
          <w:sz w:val="20"/>
          <w:szCs w:val="20"/>
        </w:rPr>
        <w:t xml:space="preserve">, &amp; White, 1987). The results of a recent meta-analysis </w:t>
      </w:r>
      <w:r>
        <w:rPr>
          <w:rFonts w:ascii="Calibri" w:eastAsia="Calibri" w:hAnsi="Calibri" w:cs="Calibri"/>
          <w:i/>
          <w:iCs/>
          <w:sz w:val="20"/>
          <w:szCs w:val="20"/>
        </w:rPr>
        <w:lastRenderedPageBreak/>
        <w:t>suggest that there are significant relationships between higher levels of rumination and depression, anxiety, and substance use disorders, as well as significant relationships between suppression and anxiety and depression (Aldao, Nolen-Hoeksema, &amp; Schweizer, 2010). Behavioral avoidance, defined as a pervasive pattern of evading or removing oneself from distressing situations, also has significant relationships with depression, anxiety, and substance use disorders (Aldao et al., 2010). These results indicate that both internalizing and externalizing disorders are associated with greater use of maladaptive emotion regulation strategies, though these relationships appear to be stronger for mood and anxiety disorders than for substance use disorders. It is possible that those with substance use disorders rely on substances, which can fulfill a similar avoidant function, as their primary emotion regulation strategy instead (Sher &amp; Grekin, 2007).</w:t>
      </w:r>
    </w:p>
    <w:p w14:paraId="000000FD" w14:textId="77777777" w:rsidR="003D1844" w:rsidRDefault="003D1844">
      <w:pPr>
        <w:rPr>
          <w:rFonts w:ascii="Calibri" w:eastAsia="Calibri" w:hAnsi="Calibri" w:cs="Calibri"/>
          <w:i/>
          <w:iCs/>
          <w:sz w:val="20"/>
          <w:szCs w:val="20"/>
        </w:rPr>
      </w:pPr>
    </w:p>
    <w:p w14:paraId="000000F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parallel, some attention has also been paid to relationships between active adaptive strategy use and psychological health, though adaptive strategy use tends to exhibit weaker relationships with psychopathology than does the use of maladaptive strategies (Aldao et al., 2010). A few examples of adaptive strategies that have demonstrated relationships with (less severe) psychopathology include mindful awareness, the process of approaching emotions nonjudgmentally (for a review, see: Keng, Smoski, &amp; Robins, 2011), and positive reappraisal of emotion-eliciting situations (Garnefski &amp; Kraaij, 2006; Martin &amp; Dahlen, 2005). Aldao and colleagues (2010) have suggested the less robust nature of the relationships observed between adaptive strategies and psychopathology may be because the usefulness of these strategies is more context dependent (e.g., reappraisal skills may only be beneficial when a situation can realistically be reframed).</w:t>
      </w:r>
    </w:p>
    <w:p w14:paraId="000000FF" w14:textId="77777777" w:rsidR="003D1844" w:rsidRDefault="003D1844">
      <w:pPr>
        <w:rPr>
          <w:rFonts w:ascii="Calibri" w:eastAsia="Calibri" w:hAnsi="Calibri" w:cs="Calibri"/>
          <w:i/>
          <w:iCs/>
          <w:sz w:val="20"/>
          <w:szCs w:val="20"/>
        </w:rPr>
      </w:pPr>
    </w:p>
    <w:p w14:paraId="0000010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general, evidence-based treatments for psychological disorders tend to emphasize both increasing adaptive emotion regulation strategies, such as positive reappraisal in cognitive behavioral therapy (Barlow et al., 2011; Beck, Emery, &amp; Greenberg, 1985; Beck, Rush, Shaw, &amp; Emery, 1979) or acceptance in mindfulness-based cognitive therapy (Segal, Williams, &amp; Teasdale, 2002) and acceptance and commitment therapy (Hayes, Strosahl, &amp; Wilson, 1999), as well as reducing maladaptive emotion regulation strategies, such as avoidance in cognitive behavioral therapy (Barlow, Allen, &amp; Choate, 2004). A recent treatment study found patients with social anxiety in CBT experienced weekly increases in adaptive emotion regulation strategies (a composite of reappraisal and acceptance use) and reductions in maladaptive strategies (e.g., avoidance, suppression) across treatment (Aldao, Jazaieri, Goldin, &amp; Gross, 2014). They found that the strength of the relationship between maladaptive strategy use and social anxiety symptom severity depended on the frequency with which patients were also using adaptive skills, a result that is similar to the prospective nonclinical study described above (Aldao &amp; Nolen-Hoeksema, 2012). Research involving clinical samples is essential insofar as results obtained from nonclinical samples may indicate different effect size estimates in primary relationships of interest (e.g., as evidenced by significant sample-type [clinical vs. nonclinical] moderation effects in Aldao et al., 2010) or have uncertain generalizability to individuals with significantly distressing psychopathology. Thus, this gap in the literature must be addressed to begin answering these pivotal clinical questions.</w:t>
      </w:r>
    </w:p>
    <w:p w14:paraId="00000101" w14:textId="77777777" w:rsidR="003D1844" w:rsidRDefault="003D1844">
      <w:pPr>
        <w:rPr>
          <w:rFonts w:ascii="Calibri" w:eastAsia="Calibri" w:hAnsi="Calibri" w:cs="Calibri"/>
          <w:i/>
          <w:iCs/>
          <w:sz w:val="20"/>
          <w:szCs w:val="20"/>
        </w:rPr>
      </w:pPr>
    </w:p>
    <w:p w14:paraId="0000010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For example, one study found that cognitive processing therapy, which explicitly targets reframing of beliefs, also reduced reliance on emotion-avoidant strategies and increased access to positive coping strategies beyond reappraisal (Alvarez et al., 2011).</w:t>
      </w:r>
    </w:p>
    <w:p w14:paraId="00000103" w14:textId="77777777" w:rsidR="003D1844" w:rsidRDefault="003D1844">
      <w:pPr>
        <w:rPr>
          <w:rFonts w:ascii="Calibri" w:eastAsia="Calibri" w:hAnsi="Calibri" w:cs="Calibri"/>
          <w:i/>
          <w:iCs/>
          <w:sz w:val="20"/>
          <w:szCs w:val="20"/>
        </w:rPr>
      </w:pPr>
    </w:p>
    <w:p w14:paraId="0000010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The first goal of this study was to examine relationships between maladaptive and adaptive strategies and psychopathology cross-sectionally at both pre- and post-treatment. In line with Aldao and Nolen-Hoeksema's (2012) previous findings, we hypothesized that maladaptive strategies would be related to psychopathology prior to treatment, and that adaptive strategies would exhibit a weaker relationship with psychopathology. However, as our second assessment followed psychological treatment as opposed to just the passage of time, we predicted both </w:t>
      </w:r>
      <w:r>
        <w:rPr>
          <w:rFonts w:ascii="Calibri" w:eastAsia="Calibri" w:hAnsi="Calibri" w:cs="Calibri"/>
          <w:i/>
          <w:iCs/>
          <w:sz w:val="20"/>
          <w:szCs w:val="20"/>
        </w:rPr>
        <w:lastRenderedPageBreak/>
        <w:t>adaptive and maladaptive strategies would be related to psychopathology at post-treatment. While more exploratory due to the lack of research on general emotion regulation skill use in the context of treatment, this hypothesis is consistent with the idea that patients who are able to respond to stressful situations with greater adaptive and fewer maladaptive strategies during treatment would also be experiencing lower psychopathology by the conclusion of therapy. We also explored whether there were interactions between use of adaptive and maladaptive strategies in predicting concurrent psychopathology, as found in Aldao and Nolen-Hoeksema's observations.</w:t>
      </w:r>
    </w:p>
    <w:p w14:paraId="00000105" w14:textId="77777777" w:rsidR="003D1844" w:rsidRDefault="003D1844">
      <w:pPr>
        <w:rPr>
          <w:rFonts w:ascii="Calibri" w:eastAsia="Calibri" w:hAnsi="Calibri" w:cs="Calibri"/>
          <w:i/>
          <w:iCs/>
          <w:sz w:val="20"/>
          <w:szCs w:val="20"/>
        </w:rPr>
      </w:pPr>
    </w:p>
    <w:p w14:paraId="0000010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second goal of the study was to assess whether initial levels of maladaptive and adaptive regulation strategies prospectively predicted psychopathology severity post-treatment. Again, in line with Aldao and Nolen-Hoeksema's (2012) results, we predicted that maladaptive strategies at pre-treatment would predict post-treatment levels of psychopathology. However, it was less clear whether initial levels of adaptive strategies would predict post-treatment levels of psychopathology in the context of treatment.</w:t>
      </w:r>
    </w:p>
    <w:p w14:paraId="00000107" w14:textId="77777777" w:rsidR="003D1844" w:rsidRDefault="003D1844">
      <w:pPr>
        <w:rPr>
          <w:rFonts w:ascii="Calibri" w:eastAsia="Calibri" w:hAnsi="Calibri" w:cs="Calibri"/>
          <w:i/>
          <w:iCs/>
          <w:sz w:val="20"/>
          <w:szCs w:val="20"/>
        </w:rPr>
      </w:pPr>
    </w:p>
    <w:p w14:paraId="0000010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Additionally, we sought to explore dynamic relationships between adaptive and maladaptive strategy use and psychopathology across treatment. We predicted that both increases in adaptive strategies and decreases in maladaptive strategies would each independently relate to improvements in psychopathological symptoms over time. Finally, to extend previous findings from Aldao and Nolen-Hoeksema (2012) suggesting use of maladaptive strategies may moderate the impact of adaptive strategies on symptom levels, we chose to explore the interaction of pre-treatment maladaptive strategy use and adaptive strategy changes on psychopathology following a full course of treatment.</w:t>
      </w:r>
    </w:p>
    <w:p w14:paraId="00000109" w14:textId="77777777" w:rsidR="003D1844" w:rsidRDefault="003D1844">
      <w:pPr>
        <w:rPr>
          <w:rFonts w:ascii="Calibri" w:eastAsia="Calibri" w:hAnsi="Calibri" w:cs="Calibri"/>
          <w:i/>
          <w:iCs/>
          <w:sz w:val="20"/>
          <w:szCs w:val="20"/>
        </w:rPr>
      </w:pPr>
    </w:p>
    <w:p w14:paraId="0000010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F4: Mental and physical health problems are stratified along a socioeconomic gradient and across racial divides. Racial minorities and those with fewer financial resources have higher levels of mental and physical disease and premature mortality (1, 2). These health disparities are rooted in childhood (3) and stem in part from exposure to the chronic, uncontrollable stress endemic in impoverished environments (4).</w:t>
      </w:r>
    </w:p>
    <w:p w14:paraId="0000010B" w14:textId="77777777" w:rsidR="003D1844" w:rsidRDefault="003D1844">
      <w:pPr>
        <w:rPr>
          <w:rFonts w:ascii="Calibri" w:eastAsia="Calibri" w:hAnsi="Calibri" w:cs="Calibri"/>
          <w:i/>
          <w:iCs/>
          <w:sz w:val="20"/>
          <w:szCs w:val="20"/>
        </w:rPr>
      </w:pPr>
    </w:p>
    <w:p w14:paraId="0000010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Developmental psychobiological models that emphasize the sensitivity of the brain and associated systems to environmental inputs have explained the first set of pathways—how chronic stress and environmental adversity get under the skin to contribute to physical and mental health problems (e.g., 6–8). Research on at-risk youth suggests that the other pathway—cognitive, emotional, behavioral—also transmits risk (or confers protection) from adverse environments (5), but little theoretical or empirical work has delineated how or why problematic coping styles develop from chronic stress.</w:t>
      </w:r>
    </w:p>
    <w:p w14:paraId="0000010D" w14:textId="77777777" w:rsidR="003D1844" w:rsidRDefault="003D1844">
      <w:pPr>
        <w:rPr>
          <w:rFonts w:ascii="Calibri" w:eastAsia="Calibri" w:hAnsi="Calibri" w:cs="Calibri"/>
          <w:i/>
          <w:iCs/>
          <w:sz w:val="20"/>
          <w:szCs w:val="20"/>
        </w:rPr>
      </w:pPr>
    </w:p>
    <w:p w14:paraId="0000010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this article, it’s proposed that atypical patterns of emotional, cognitive, and behavioral coping and self-regulation stem directly from the same early experiences of chronic uncontrollable stress that contribute to dysregulated biological stress reactivity.</w:t>
      </w:r>
    </w:p>
    <w:p w14:paraId="0000010F" w14:textId="77777777" w:rsidR="003D1844" w:rsidRDefault="003D1844">
      <w:pPr>
        <w:rPr>
          <w:rFonts w:ascii="Calibri" w:eastAsia="Calibri" w:hAnsi="Calibri" w:cs="Calibri"/>
          <w:i/>
          <w:iCs/>
          <w:sz w:val="20"/>
          <w:szCs w:val="20"/>
        </w:rPr>
      </w:pPr>
    </w:p>
    <w:p w14:paraId="0000011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Some theory and research have addressed how children develop their characteristic ways of coping, whether adaptive or maladaptive. According to the Responses to Stress model (9), children’s earliest attempts to regulate themselves begin in infancy in symbiotic coregulation with a caregiver. Early self-soothing (thumb sucking) and regulation behaviors (looking away) emerge during the first year, setting in motion a process that unfolds over the next two decades (and beyond) wherein children become increasingly independent in their ability to manage difficult situations and soothe themselves (10). The ingredients necessary for children to develop a healthy repertoire of coping skills apparently are the presence of mild and moderate stress, positive coping models, and age-appropriate scaffolding.</w:t>
      </w:r>
    </w:p>
    <w:p w14:paraId="00000111" w14:textId="77777777" w:rsidR="003D1844" w:rsidRDefault="003D1844">
      <w:pPr>
        <w:rPr>
          <w:rFonts w:ascii="Calibri" w:eastAsia="Calibri" w:hAnsi="Calibri" w:cs="Calibri"/>
          <w:i/>
          <w:iCs/>
          <w:sz w:val="20"/>
          <w:szCs w:val="20"/>
        </w:rPr>
      </w:pPr>
    </w:p>
    <w:p w14:paraId="0000011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During the toddler and preschool years, children typically progress from crying and seeking physical comfort to seeking help and avoiding sources of stress. As cognitive abilities develop in the elementary school years and children improve their emotional awareness, metacognition, and executive functions, more complex cognitive and behavioral coping strategies such as problem solving and cognitive reframing emerge, and coping repertoires are refined well into adolescence and beyond (e.g., 13). By mid- to late adolescence, youth typically have a coping repertoire that contains a range of strategies (e.g., active and accommodative; cognitive, emotional and behavioral) and the ability to flexibly match coping strategies to important characteristics of a stressful situation (e.g., its controllability and urgency).</w:t>
      </w:r>
    </w:p>
    <w:p w14:paraId="00000113" w14:textId="77777777" w:rsidR="003D1844" w:rsidRDefault="003D1844">
      <w:pPr>
        <w:rPr>
          <w:rFonts w:ascii="Calibri" w:eastAsia="Calibri" w:hAnsi="Calibri" w:cs="Calibri"/>
          <w:i/>
          <w:iCs/>
          <w:sz w:val="20"/>
          <w:szCs w:val="20"/>
        </w:rPr>
      </w:pPr>
    </w:p>
    <w:p w14:paraId="0000011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However, some youth have unhealthy or maladaptive coping repertoires that rely too heavily on a single strategy such as avoidance, tend to be inflexible and applied rigidly, and can include behaviors with serious negative consequences. Such underdeveloped or immature coping styles have been identified as proximal causal mechanisms that connect stressful childhoods to psychopathology.</w:t>
      </w:r>
    </w:p>
    <w:p w14:paraId="00000115" w14:textId="77777777" w:rsidR="003D1844" w:rsidRDefault="003D1844">
      <w:pPr>
        <w:rPr>
          <w:rFonts w:ascii="Calibri" w:eastAsia="Calibri" w:hAnsi="Calibri" w:cs="Calibri"/>
          <w:i/>
          <w:iCs/>
          <w:sz w:val="20"/>
          <w:szCs w:val="20"/>
        </w:rPr>
      </w:pPr>
    </w:p>
    <w:p w14:paraId="0000011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Zimmer-Gembeck and Skinner’s integrative review showed that older children and adolescents may continue to use less mature or primitive forms of coping (e.g., escaping and seeking contact with a caregiver) when they face extremely stressful events. Research on child trauma and post-traumatic stress disorder suggests that children develop problematic coping to protect themselves from overwhelming stress such as maltreatment (17). Similarly, cognitive theories of depression suggest that children develop negative coping and thinking patterns from early invalidating interactions with caregivers. Thus, repeated use of developmentally primitive coping, lack of exposure to healthy alternatives, or repeated exposure to overwhelming stress may solidify a maladaptive style of coping—one that relies too much on primitive strategies such as avoidance and denial (e.g., 18). Despite recognition that maladaptive coping apparently stems from adverse childhood experiences (e.g., those associated with poverty), and predicts psychopathology across the lifespan and mediates the association between adversity and psychopathology (e.g., 19), little research has addressed how maladaptive styles of coping develop.</w:t>
      </w:r>
    </w:p>
    <w:p w14:paraId="00000117" w14:textId="77777777" w:rsidR="003D1844" w:rsidRDefault="003D1844">
      <w:pPr>
        <w:rPr>
          <w:rFonts w:ascii="Calibri" w:eastAsia="Calibri" w:hAnsi="Calibri" w:cs="Calibri"/>
          <w:i/>
          <w:iCs/>
          <w:sz w:val="20"/>
          <w:szCs w:val="20"/>
        </w:rPr>
      </w:pPr>
    </w:p>
    <w:p w14:paraId="0000011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Toxic early environments lead to disparities in physical health—via damage to physiologic stress-response systems resulting from the body’s attempts to maintain homeostasis in the face of chaos.</w:t>
      </w:r>
    </w:p>
    <w:p w14:paraId="00000119" w14:textId="77777777" w:rsidR="003D1844" w:rsidRDefault="003D1844">
      <w:pPr>
        <w:rPr>
          <w:rFonts w:ascii="Calibri" w:eastAsia="Calibri" w:hAnsi="Calibri" w:cs="Calibri"/>
          <w:i/>
          <w:iCs/>
          <w:sz w:val="20"/>
          <w:szCs w:val="20"/>
        </w:rPr>
      </w:pPr>
    </w:p>
    <w:p w14:paraId="0000011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AL model focuses on damage to and dysregulation of the sympathetic-adrenomedullary (SAM) system and the hypothalamic-pituitary-adrenal axis (HPA; 4) caused by early uncontrollable stress. Repeated, excessive activations of these systems as a result of chronic and uncontrollable stress lead to wear and tear on the body. When chronically engaged, HPA and SAM systems overactivate critical physical organs and systems involving physical organs (e.g., cardiovascular, immunologic, metabolic), sometimes damaging them and leading to physical diseases (7). Research informed by AL illustrates the sensitivity of the brain and other organ systems to environmental stress in childhood, as well as the potential costs of this neural plasticity (20). Although AL theory recognizes the functional reason why human physiology adapts to early uncontrollable stress, it emphasizes the damage to stress-response systems and underscores the physical and mental health problems that result.</w:t>
      </w:r>
    </w:p>
    <w:p w14:paraId="0000011B" w14:textId="77777777" w:rsidR="003D1844" w:rsidRDefault="003D1844">
      <w:pPr>
        <w:rPr>
          <w:rFonts w:ascii="Calibri" w:eastAsia="Calibri" w:hAnsi="Calibri" w:cs="Calibri"/>
          <w:i/>
          <w:iCs/>
          <w:sz w:val="20"/>
          <w:szCs w:val="20"/>
        </w:rPr>
      </w:pPr>
    </w:p>
    <w:p w14:paraId="0000011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F5: Rumination has consistently been found to be associated with the onset and duration of major depressive episodes. Little research, however, has examined factors that may weaken the association between maladaptive coping, such as rumination, and depressive symptoms.</w:t>
      </w:r>
    </w:p>
    <w:p w14:paraId="0000011D" w14:textId="77777777" w:rsidR="003D1844" w:rsidRDefault="003D1844">
      <w:pPr>
        <w:rPr>
          <w:rFonts w:ascii="Calibri" w:eastAsia="Calibri" w:hAnsi="Calibri" w:cs="Calibri"/>
          <w:i/>
          <w:iCs/>
          <w:sz w:val="20"/>
          <w:szCs w:val="20"/>
        </w:rPr>
      </w:pPr>
    </w:p>
    <w:p w14:paraId="0000011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Virginia Satir, a prominent clinical therapist, said, “Problems are not the problem; coping is the problem.” This statement illustrates that individuals can respond to stressful experiences in both adaptive and maladaptive ways. </w:t>
      </w:r>
      <w:r>
        <w:rPr>
          <w:rFonts w:ascii="Calibri" w:eastAsia="Calibri" w:hAnsi="Calibri" w:cs="Calibri"/>
          <w:i/>
          <w:iCs/>
          <w:sz w:val="20"/>
          <w:szCs w:val="20"/>
        </w:rPr>
        <w:lastRenderedPageBreak/>
        <w:t>In fact, people utilize a variety of strategies in responding to stress. It is not clear, however, how adaptive and maladaptive ways of coping interact to predict negative outcomes associated with stress, such as depression.</w:t>
      </w:r>
    </w:p>
    <w:p w14:paraId="0000011F" w14:textId="77777777" w:rsidR="003D1844" w:rsidRDefault="003D1844">
      <w:pPr>
        <w:rPr>
          <w:rFonts w:ascii="Calibri" w:eastAsia="Calibri" w:hAnsi="Calibri" w:cs="Calibri"/>
          <w:i/>
          <w:iCs/>
          <w:sz w:val="20"/>
          <w:szCs w:val="20"/>
        </w:rPr>
      </w:pPr>
    </w:p>
    <w:p w14:paraId="0000012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Investigators differ in how they categorize various forms of coping (e.g., emotion-focused vs. problem-focused coping; approach vs. avoidance; see Skinner, Edge, Altman, &amp; Sherwood, 2003, for a review). Skinner et al. (2003) argue that it is useful to distinguish among different forms of coping based on whether they are harmful or helpful.</w:t>
      </w:r>
    </w:p>
    <w:p w14:paraId="00000121" w14:textId="77777777" w:rsidR="003D1844" w:rsidRDefault="003D1844">
      <w:pPr>
        <w:rPr>
          <w:rFonts w:ascii="Calibri" w:eastAsia="Calibri" w:hAnsi="Calibri" w:cs="Calibri"/>
          <w:i/>
          <w:iCs/>
          <w:sz w:val="20"/>
          <w:szCs w:val="20"/>
        </w:rPr>
      </w:pPr>
    </w:p>
    <w:p w14:paraId="0000012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Apart from examining the use of alcohol and illicit substances, research on harmful or maladaptive coping has focused largely on rumination. Almost 30 years of research has documented the adverse effects of rumination, defined as persistent and recurring thoughts focused on one’s depressive symptoms and on the implications of those symptoms (Joormann, Dkane, &amp; Gotlib, 2006; Nolen-Hoeksema, 2000). Rumination has been found to be a relatively stable trait in numerous samples, including college students, community residents, and inpatient populations (see Bagby, Rector, Bacchiochi, &amp; McBride, 2004, for a review). Rumination has been found to prospectively predict changes in depressive symptoms (e.g., Abela, Aydin, &amp; Auerbach, 2007).</w:t>
      </w:r>
    </w:p>
    <w:p w14:paraId="00000123" w14:textId="77777777" w:rsidR="003D1844" w:rsidRDefault="003D1844">
      <w:pPr>
        <w:rPr>
          <w:rFonts w:ascii="Calibri" w:eastAsia="Calibri" w:hAnsi="Calibri" w:cs="Calibri"/>
          <w:i/>
          <w:iCs/>
          <w:sz w:val="20"/>
          <w:szCs w:val="20"/>
        </w:rPr>
      </w:pPr>
    </w:p>
    <w:p w14:paraId="0000012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Rumination has been found to be related to a variety of maladaptive cognitive styles (e.g., negative attributional style). In fact, rumination is sometimes considered to be an exemplar of a broader range of reactions to stressful events, or what Compas and his colleagues (e.g., Connor-Smith, Compas, Wadsworth, Thomsen, &amp; Saltzman, 2000) refer to as involuntary responses to stress (see also Eisenberg, Fabes, &amp; Guthrie, 1997). In addition to rumination, other examples of maladaptive coping include emotional numbing, escape, and intrusive thoughts. Not surprisingly, these forms of maladaptive coping have been found to be associated with high levels of psychological distress, such as symptoms of anxiety and depression, in both adolescents (e.g., Jaser et al., 2005; Marcks &amp; Woods, 2005) and adults (e.g., Morillo, Belloch, &amp; García-Soriano, 2007; Sarin, Abela, &amp; Auerbach, 2005).</w:t>
      </w:r>
    </w:p>
    <w:p w14:paraId="00000125" w14:textId="77777777" w:rsidR="003D1844" w:rsidRDefault="003D1844">
      <w:pPr>
        <w:rPr>
          <w:rFonts w:ascii="Calibri" w:eastAsia="Calibri" w:hAnsi="Calibri" w:cs="Calibri"/>
          <w:i/>
          <w:iCs/>
          <w:sz w:val="20"/>
          <w:szCs w:val="20"/>
        </w:rPr>
      </w:pPr>
    </w:p>
    <w:p w14:paraId="0000012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Although many individuals report experiencing at least mild levels of rumination (e.g., Treynor, Gonzalez, &amp; Nolen-Hoeksema, 2003), most people do not develop diagnosable depression. Only a few studies have examined factors that may interact with maladaptive coping to decrease the likelihood that they will lead to or exacerbate symptoms of depression. For example, Olson, Hugelshofer, Kwon, and Reff, (2005) found that among undergraduate students, affiliative and self-enhancing forms of humor interacted with rumination to predict dysphoria: among participants with high rumination, those with high adaptive humor had significantly lower levels of dysphoria than did those with low adaptive humor. Nolen-Hoeksema and Davis (1999) found that after the loss of a loved one, higher levels of emotional support were significantly related to reduced depressive symptoms in high, but not in low, ruminators.</w:t>
      </w:r>
    </w:p>
    <w:p w14:paraId="00000127" w14:textId="77777777" w:rsidR="003D1844" w:rsidRDefault="003D1844">
      <w:pPr>
        <w:rPr>
          <w:rFonts w:ascii="Calibri" w:eastAsia="Calibri" w:hAnsi="Calibri" w:cs="Calibri"/>
          <w:i/>
          <w:iCs/>
          <w:sz w:val="20"/>
          <w:szCs w:val="20"/>
        </w:rPr>
      </w:pPr>
    </w:p>
    <w:p w14:paraId="0000012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this context, it is important to note that several other forms of coping (e.g., cognitive restructuring, problem-solving coping) have been found to be associated with decreases in psychological distress and better physical health (e.g., Connor-Smith &amp; Compas, 2004; Hong, 2007). Moreover, a number of cognitive-behavioral interventions focus on teaching depressed individuals specific forms of adaptive coping. For example, in the Depression Prevention Course, depressed individuals are taught to identify negative or destructive thoughts and replace them with positive or constructive thoughts (i.e., cognitive restructuring; Muñoz, 1984/1998). Similarly, Problem-Solving Therapy focuses on helping depressed patients learn to identify and resolve problems (D’Zurilla &amp; Nezu, 2006; Nezu, Nezu, &amp; Perri, 1998). It is possible, therefore, that these other forms of adaptive coping will diminish the association between maladaptive coping and symptoms of depression.</w:t>
      </w:r>
    </w:p>
    <w:p w14:paraId="00000129" w14:textId="77777777" w:rsidR="003D1844" w:rsidRDefault="003D1844">
      <w:pPr>
        <w:rPr>
          <w:rFonts w:ascii="Calibri" w:eastAsia="Calibri" w:hAnsi="Calibri" w:cs="Calibri"/>
          <w:i/>
          <w:iCs/>
          <w:sz w:val="20"/>
          <w:szCs w:val="20"/>
        </w:rPr>
      </w:pPr>
    </w:p>
    <w:p w14:paraId="0000012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F6: Academic flow and academic thriving are significant variables in students' academic</w:t>
      </w:r>
    </w:p>
    <w:p w14:paraId="0000012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achievement that requires energy and constant effort in the face of new and challenging situations.</w:t>
      </w:r>
    </w:p>
    <w:p w14:paraId="0000012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Accordingly, the prediction of academic flow and academic thriving based on motivational personality</w:t>
      </w:r>
    </w:p>
    <w:p w14:paraId="0000012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lastRenderedPageBreak/>
        <w:t>factors is one of the topics that is of great importance in educational psychology. This study aimed to</w:t>
      </w:r>
    </w:p>
    <w:p w14:paraId="0000012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examine the relationships between academic grit, academic flow and academic thriving mediated by</w:t>
      </w:r>
    </w:p>
    <w:p w14:paraId="0000012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adaptive coping style.</w:t>
      </w:r>
    </w:p>
    <w:p w14:paraId="00000130" w14:textId="77777777" w:rsidR="003D1844" w:rsidRDefault="003D1844">
      <w:pPr>
        <w:rPr>
          <w:rFonts w:ascii="Calibri" w:eastAsia="Calibri" w:hAnsi="Calibri" w:cs="Calibri"/>
          <w:i/>
          <w:iCs/>
          <w:sz w:val="20"/>
          <w:szCs w:val="20"/>
        </w:rPr>
      </w:pPr>
    </w:p>
    <w:p w14:paraId="0000013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achievement is an important and influential process that requires endurance and effort in the</w:t>
      </w:r>
    </w:p>
    <w:p w14:paraId="0000013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face of challenges as well as students' academic flow and the development of their academic talents</w:t>
      </w:r>
    </w:p>
    <w:p w14:paraId="0000013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(R Binning, Wang, &amp; Amemiya, 2019)</w:t>
      </w:r>
    </w:p>
    <w:p w14:paraId="0000013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flow is defined as the experience of working at full capacity in an academic activity and</w:t>
      </w:r>
    </w:p>
    <w:p w14:paraId="0000013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being closely related to that subject or task. The concept of academic flow was first introduced by</w:t>
      </w:r>
    </w:p>
    <w:p w14:paraId="0000013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Yuwanto (2018) in educational psychology. This structure has three important components: Intrinsic</w:t>
      </w:r>
    </w:p>
    <w:p w14:paraId="0000013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motivation as a person's desire to engage in an academic activity,</w:t>
      </w:r>
    </w:p>
    <w:p w14:paraId="0000013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complete concentrate and focus on</w:t>
      </w:r>
    </w:p>
    <w:p w14:paraId="0000013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an academic activity, and enjoy as very positive thoughts and feelings related to a person's educational</w:t>
      </w:r>
    </w:p>
    <w:p w14:paraId="0000013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position. Usually, students develop an academic flow when they do academic activities such as</w:t>
      </w:r>
    </w:p>
    <w:p w14:paraId="0000013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studying, doing homework, or giving a seminar. A person who experiences academic flow does not feel the passage of time and feels inner satisfaction from doing homework and does not need external</w:t>
      </w:r>
    </w:p>
    <w:p w14:paraId="0000013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rewards. </w:t>
      </w:r>
    </w:p>
    <w:p w14:paraId="0000013D" w14:textId="77777777" w:rsidR="003D1844" w:rsidRDefault="003D1844">
      <w:pPr>
        <w:rPr>
          <w:rFonts w:ascii="Calibri" w:eastAsia="Calibri" w:hAnsi="Calibri" w:cs="Calibri"/>
          <w:i/>
          <w:iCs/>
          <w:sz w:val="20"/>
          <w:szCs w:val="20"/>
        </w:rPr>
      </w:pPr>
    </w:p>
    <w:p w14:paraId="0000013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Flow is positively and significantly associated with higher well-being, successful academic performance, higher mental and physical health, positive emotions such as enjoyment, happiness and satisfaction. Academic</w:t>
      </w:r>
    </w:p>
    <w:p w14:paraId="0000013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is also one of the important concepts in education. Schreiner, Louis, and Nelson</w:t>
      </w:r>
    </w:p>
    <w:p w14:paraId="0000014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(2020) define students' academic</w:t>
      </w:r>
    </w:p>
    <w:p w14:paraId="0000014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as intellectual, social, and emotional engagement and</w:t>
      </w:r>
    </w:p>
    <w:p w14:paraId="0000014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believe those students who experience academic</w:t>
      </w:r>
    </w:p>
    <w:p w14:paraId="0000014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will be academically successful and having a</w:t>
      </w:r>
    </w:p>
    <w:p w14:paraId="0000014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high level of mental ability to achieve success. They will experience and will benefit the most from</w:t>
      </w:r>
    </w:p>
    <w:p w14:paraId="0000014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their educational experiences. Research has shown that academic</w:t>
      </w:r>
    </w:p>
    <w:p w14:paraId="0000014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is very important and is a</w:t>
      </w:r>
    </w:p>
    <w:p w14:paraId="0000014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key factor in academic achievement</w:t>
      </w:r>
    </w:p>
    <w:p w14:paraId="0000014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(Astin, 1999).</w:t>
      </w:r>
    </w:p>
    <w:p w14:paraId="0000014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Schreiner, Pothoven, Nelson, and McIntosh (2009) argue that academic</w:t>
      </w:r>
    </w:p>
    <w:p w14:paraId="0000014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consists of five</w:t>
      </w:r>
    </w:p>
    <w:p w14:paraId="0000014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factors, including academic engagement, academic determinism, positive perspective, social</w:t>
      </w:r>
    </w:p>
    <w:p w14:paraId="0000014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connections, and diverse citizenship. Engagement in learning includes meaningful processing, focus</w:t>
      </w:r>
    </w:p>
    <w:p w14:paraId="0000014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and active participation in the learning process. These students focus on learning opportunities. They</w:t>
      </w:r>
    </w:p>
    <w:p w14:paraId="0000014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discuss and think about the learning process and get their energy by doing it. Academic determinism</w:t>
      </w:r>
    </w:p>
    <w:p w14:paraId="0000014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indicates a purposeful and self-regulating effort to complete academic assignments. This structure</w:t>
      </w:r>
    </w:p>
    <w:p w14:paraId="0000015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includes goal setting and motivation to achieve educational goals. People with academic determinants</w:t>
      </w:r>
    </w:p>
    <w:p w14:paraId="0000015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are well aware that effort is a key factor in their academic achievement. Positivism expresses mental</w:t>
      </w:r>
    </w:p>
    <w:p w14:paraId="0000015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well-being and optimism. Positive students have the hope to achieve positive outcomes despite</w:t>
      </w:r>
    </w:p>
    <w:p w14:paraId="0000015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challenging or unfavorable circumstances. Schreiner (2013) defines</w:t>
      </w:r>
    </w:p>
    <w:p w14:paraId="0000015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positive perspective is considered</w:t>
      </w:r>
    </w:p>
    <w:p w14:paraId="0000015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as a kind of active view of reality and adaptation to it. Social connections indicate the student's</w:t>
      </w:r>
    </w:p>
    <w:p w14:paraId="0000015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belonging to a learning community. These relationships provide the context for a variety of learning support.</w:t>
      </w:r>
    </w:p>
    <w:p w14:paraId="0000015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Diverse citizenship indicates that the student is interested in and welcomes</w:t>
      </w:r>
    </w:p>
    <w:p w14:paraId="0000015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people who are different in diverse areas. Accordingly, diverse citizenship enables students to develop</w:t>
      </w:r>
    </w:p>
    <w:p w14:paraId="0000015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lastRenderedPageBreak/>
        <w:t>strong critical and reasoning skills with an open mind to diverse people.</w:t>
      </w:r>
    </w:p>
    <w:p w14:paraId="0000015A" w14:textId="77777777" w:rsidR="003D1844" w:rsidRDefault="003D1844">
      <w:pPr>
        <w:rPr>
          <w:rFonts w:ascii="Calibri" w:eastAsia="Calibri" w:hAnsi="Calibri" w:cs="Calibri"/>
          <w:i/>
          <w:iCs/>
          <w:sz w:val="20"/>
          <w:szCs w:val="20"/>
        </w:rPr>
      </w:pPr>
    </w:p>
    <w:p w14:paraId="0000015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Considering the importance and role of academic flow and academic</w:t>
      </w:r>
    </w:p>
    <w:p w14:paraId="0000015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in students' cognitive</w:t>
      </w:r>
    </w:p>
    <w:p w14:paraId="0000015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and motivational outputs, in the present study, academic grit has been examined as a predictor of</w:t>
      </w:r>
    </w:p>
    <w:p w14:paraId="0000015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flow and academic</w:t>
      </w:r>
    </w:p>
    <w:p w14:paraId="0000015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and adaptive academic coping styles have been tested as a</w:t>
      </w:r>
    </w:p>
    <w:p w14:paraId="0000016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mediating variable</w:t>
      </w:r>
    </w:p>
    <w:p w14:paraId="0000016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w:t>
      </w:r>
    </w:p>
    <w:p w14:paraId="0000016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Adaptive Coping Styles are a set of coping techniques that help students adapt better when faced with</w:t>
      </w:r>
    </w:p>
    <w:p w14:paraId="0000016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difficulties. Adaptive coping style includes strategy</w:t>
      </w:r>
    </w:p>
    <w:p w14:paraId="0000016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building, commitment, self-encouragement and seeking help. Strategy building refers to trying to find</w:t>
      </w:r>
    </w:p>
    <w:p w14:paraId="0000016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solutions to problems or prevent problems from arising in the future. Commitment energizes people in</w:t>
      </w:r>
    </w:p>
    <w:p w14:paraId="0000016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face of obstacles and challenges and makes them more resilient to problems. Self-encouragement</w:t>
      </w:r>
    </w:p>
    <w:p w14:paraId="0000016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helps people to improve their positive emotions by enhancing their self-confidence and optimism, and ultimately seeking help is seen as asking adults for help in understanding and how to learn more effectively. Some researchers believe that the academic coping strategies used</w:t>
      </w:r>
    </w:p>
    <w:p w14:paraId="0000016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by students can affect their academic abilities and achievements. In</w:t>
      </w:r>
    </w:p>
    <w:p w14:paraId="0000016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fact, the type of coping strategies that students use affects students' academic performance.</w:t>
      </w:r>
    </w:p>
    <w:p w14:paraId="0000016A" w14:textId="77777777" w:rsidR="003D1844" w:rsidRDefault="003D1844">
      <w:pPr>
        <w:rPr>
          <w:rFonts w:ascii="Calibri" w:eastAsia="Calibri" w:hAnsi="Calibri" w:cs="Calibri"/>
          <w:i/>
          <w:iCs/>
          <w:sz w:val="20"/>
          <w:szCs w:val="20"/>
        </w:rPr>
      </w:pPr>
    </w:p>
    <w:p w14:paraId="0000016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Students who use adaptive coping styles have greater academic satisfaction, use appropriate problem-solving strategies, show more commitment in life, have more control over their academic problems,</w:t>
      </w:r>
    </w:p>
    <w:p w14:paraId="0000016C" w14:textId="77777777" w:rsidR="003D1844" w:rsidRDefault="00000000">
      <w:pPr>
        <w:rPr>
          <w:rFonts w:ascii="Calibri" w:eastAsia="Calibri" w:hAnsi="Calibri" w:cs="Calibri"/>
          <w:b/>
          <w:bCs/>
          <w:i/>
          <w:iCs/>
          <w:sz w:val="20"/>
          <w:szCs w:val="20"/>
        </w:rPr>
      </w:pPr>
      <w:r>
        <w:rPr>
          <w:rFonts w:ascii="Calibri" w:eastAsia="Calibri" w:hAnsi="Calibri" w:cs="Calibri"/>
          <w:i/>
          <w:iCs/>
          <w:sz w:val="20"/>
          <w:szCs w:val="20"/>
        </w:rPr>
        <w:t xml:space="preserve">and are more successful. Gonzales, Tein, Sandler, and Friedman found that people who use adaptive coping styles experience higher academic achievement and prosperity in school. Research shows that in the school environment, the use of adaptive coping strategies has an effect on reducing stress and the proper performance of homework. Adaptive coping styles help students overcome barriers in the classroom and engage in the learning process. Students who use adaptive coping styles such as problem solving perform better, are more likely to use logical solutions, and are more effective in their academic performance. Adaptive coping style helps students maintain a keen interest in education and are consistent and goal-oriented. </w:t>
      </w:r>
      <w:r>
        <w:rPr>
          <w:rFonts w:ascii="Calibri" w:eastAsia="Calibri" w:hAnsi="Calibri" w:cs="Calibri"/>
          <w:b/>
          <w:bCs/>
          <w:i/>
          <w:iCs/>
          <w:sz w:val="20"/>
          <w:szCs w:val="20"/>
        </w:rPr>
        <w:t>Also, students with higher levels of grit were more likely to use adaptive coping styles.</w:t>
      </w:r>
    </w:p>
    <w:p w14:paraId="0000016D" w14:textId="77777777" w:rsidR="003D1844" w:rsidRDefault="003D1844">
      <w:pPr>
        <w:rPr>
          <w:rFonts w:ascii="Calibri" w:eastAsia="Calibri" w:hAnsi="Calibri" w:cs="Calibri"/>
          <w:b/>
          <w:bCs/>
          <w:i/>
          <w:iCs/>
          <w:sz w:val="20"/>
          <w:szCs w:val="20"/>
        </w:rPr>
      </w:pPr>
    </w:p>
    <w:p w14:paraId="0000016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the present study, for two reasons, to predict academic flow and academic thriving</w:t>
      </w:r>
    </w:p>
    <w:p w14:paraId="0000016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the personality</w:t>
      </w:r>
    </w:p>
    <w:p w14:paraId="0000017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and motivational variables- academic grit has been examined. The first reason is that intelligence capabilities alone are not sufficient for academic success, but in addition to intelligence, motivational</w:t>
      </w:r>
    </w:p>
    <w:p w14:paraId="0000017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variables must be considered. Also, academic flow and academic thriving are</w:t>
      </w:r>
    </w:p>
    <w:p w14:paraId="0000017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structures that are derived from positive psychology. Therefore, an educational structure based on</w:t>
      </w:r>
    </w:p>
    <w:p w14:paraId="0000017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positive psychology must be used to predict them, and academic grit as a variable arising from positive</w:t>
      </w:r>
    </w:p>
    <w:p w14:paraId="0000017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psychology was considered.</w:t>
      </w:r>
    </w:p>
    <w:p w14:paraId="00000175"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grit is defined as working strenuously toward challenges, maintaining effort and interest</w:t>
      </w:r>
    </w:p>
    <w:p w14:paraId="0000017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over years despite failure, adversity, and plateaus in progress. Academic grit is defined as steadfastness and a desire to achieve long-term academic goals. Academic grit shows itself as a precise and purposeful work against challenges and constant efforts and interest and enthusiasm. Grit is the ability to stay on track regardless of whether one is experiencing problems or failure.</w:t>
      </w:r>
    </w:p>
    <w:p w14:paraId="00000177" w14:textId="77777777" w:rsidR="003D1844" w:rsidRDefault="003D1844">
      <w:pPr>
        <w:rPr>
          <w:rFonts w:ascii="Calibri" w:eastAsia="Calibri" w:hAnsi="Calibri" w:cs="Calibri"/>
          <w:i/>
          <w:iCs/>
          <w:sz w:val="20"/>
          <w:szCs w:val="20"/>
        </w:rPr>
      </w:pPr>
    </w:p>
    <w:p w14:paraId="0000017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People who show more grit (both in terms of perseverance and in terms of</w:t>
      </w:r>
    </w:p>
    <w:p w14:paraId="0000017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lastRenderedPageBreak/>
        <w:t>stability of interest) show more flow (deep and effortless concentration).</w:t>
      </w:r>
    </w:p>
    <w:p w14:paraId="0000017A" w14:textId="77777777" w:rsidR="003D1844" w:rsidRDefault="003D1844">
      <w:pPr>
        <w:rPr>
          <w:rFonts w:ascii="Calibri" w:eastAsia="Calibri" w:hAnsi="Calibri" w:cs="Calibri"/>
          <w:i/>
          <w:iCs/>
          <w:sz w:val="20"/>
          <w:szCs w:val="20"/>
        </w:rPr>
      </w:pPr>
    </w:p>
    <w:p w14:paraId="0000017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Marty-Dugas and Smilek (2019), and Ralph, Wammes, Barr, and Smilek (2017) also show that grit is associated with academic flow.</w:t>
      </w:r>
    </w:p>
    <w:p w14:paraId="0000017C" w14:textId="77777777" w:rsidR="003D1844" w:rsidRDefault="003D1844">
      <w:pPr>
        <w:rPr>
          <w:rFonts w:ascii="Calibri" w:eastAsia="Calibri" w:hAnsi="Calibri" w:cs="Calibri"/>
          <w:i/>
          <w:iCs/>
          <w:sz w:val="20"/>
          <w:szCs w:val="20"/>
        </w:rPr>
      </w:pPr>
    </w:p>
    <w:p w14:paraId="0000017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(Wolff &amp; Borzikowsky, 2018) believe that various factors such as the</w:t>
      </w:r>
    </w:p>
    <w:p w14:paraId="0000017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development of personal skills and grit have an impact on people's success.. </w:t>
      </w:r>
    </w:p>
    <w:p w14:paraId="0000017F" w14:textId="77777777" w:rsidR="003D1844" w:rsidRDefault="003D1844">
      <w:pPr>
        <w:rPr>
          <w:rFonts w:ascii="Calibri" w:eastAsia="Calibri" w:hAnsi="Calibri" w:cs="Calibri"/>
          <w:i/>
          <w:iCs/>
          <w:sz w:val="20"/>
          <w:szCs w:val="20"/>
        </w:rPr>
      </w:pPr>
    </w:p>
    <w:p w14:paraId="0000018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Hwang, Lim, and Ha (2018) showed that academic grit is a good predictor of high academic</w:t>
      </w:r>
    </w:p>
    <w:p w14:paraId="0000018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performance and the use of adaptive coping styles for academic problems.</w:t>
      </w:r>
    </w:p>
    <w:p w14:paraId="0000018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People with high grit are</w:t>
      </w:r>
    </w:p>
    <w:p w14:paraId="0000018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better able to focus and avoid trivial matters. For this reason, high grit people are better able to focus</w:t>
      </w:r>
    </w:p>
    <w:p w14:paraId="0000018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on their goals for a long time and achieve academic flow and academic thriving.</w:t>
      </w:r>
    </w:p>
    <w:p w14:paraId="00000185" w14:textId="77777777" w:rsidR="003D1844" w:rsidRDefault="003D1844">
      <w:pPr>
        <w:rPr>
          <w:rFonts w:ascii="Calibri" w:eastAsia="Calibri" w:hAnsi="Calibri" w:cs="Calibri"/>
          <w:i/>
          <w:iCs/>
          <w:sz w:val="20"/>
          <w:szCs w:val="20"/>
        </w:rPr>
      </w:pPr>
    </w:p>
    <w:p w14:paraId="0000018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Due to the positive consequences of academic grit and the new emergence of this structure in</w:t>
      </w:r>
    </w:p>
    <w:p w14:paraId="0000018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educational research, the current study can be considered as an important effort to produce knowledge</w:t>
      </w:r>
    </w:p>
    <w:p w14:paraId="0000018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the field of academic grit. Accordingly, in this study, a model was tested in which academic grit was</w:t>
      </w:r>
    </w:p>
    <w:p w14:paraId="0000018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examined as predictor, academic flow and academic thriving were examined as criterion variables and</w:t>
      </w:r>
    </w:p>
    <w:p w14:paraId="0000018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coping styles was considered as a mediating variable.</w:t>
      </w:r>
    </w:p>
    <w:p w14:paraId="0000018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Table 2 shows that the correlation coefficients between academic grit with academic flow, academic</w:t>
      </w:r>
    </w:p>
    <w:p w14:paraId="0000018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thriving and adaptive academic coping styles are positive and significant. Also, the correlation</w:t>
      </w:r>
    </w:p>
    <w:p w14:paraId="0000018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coefficients between adaptive coping styles with academic flow and academic thriving are positive and</w:t>
      </w:r>
    </w:p>
    <w:p w14:paraId="0000018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significant. The structural equation model (SEM) was used to evaluate the proposed model. Table 3</w:t>
      </w:r>
    </w:p>
    <w:p w14:paraId="0000018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shows the fit indices.</w:t>
      </w:r>
    </w:p>
    <w:p w14:paraId="00000190" w14:textId="77777777" w:rsidR="003D1844" w:rsidRDefault="003D1844">
      <w:pPr>
        <w:rPr>
          <w:rFonts w:ascii="Calibri" w:eastAsia="Calibri" w:hAnsi="Calibri" w:cs="Calibri"/>
          <w:i/>
          <w:iCs/>
          <w:sz w:val="20"/>
          <w:szCs w:val="20"/>
        </w:rPr>
      </w:pPr>
    </w:p>
    <w:p w14:paraId="0000019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The findings of the present study showed that academic grit has a direct positive effect on academic</w:t>
      </w:r>
    </w:p>
    <w:p w14:paraId="0000019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flow and academic thriving. In addition, the findings confirmed that academic grit can increase</w:t>
      </w:r>
    </w:p>
    <w:p w14:paraId="0000019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academic flow and academic thriving through adaptive coping style. These findings are consistent</w:t>
      </w:r>
    </w:p>
    <w:p w14:paraId="0000019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with the findings of Smith, Marty-Dugas, Ralph, and Smilek (2020), Marty-Dugas and Smilek (2019), (Ralph et al., 2017). </w:t>
      </w:r>
    </w:p>
    <w:p w14:paraId="00000195" w14:textId="77777777" w:rsidR="003D1844" w:rsidRDefault="003D1844">
      <w:pPr>
        <w:rPr>
          <w:rFonts w:ascii="Calibri" w:eastAsia="Calibri" w:hAnsi="Calibri" w:cs="Calibri"/>
          <w:i/>
          <w:iCs/>
          <w:sz w:val="20"/>
          <w:szCs w:val="20"/>
        </w:rPr>
      </w:pPr>
    </w:p>
    <w:p w14:paraId="0000019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Consistency in interest in the subject increases intrinsic motivation and this motivation increases academic flow. In addition, academic grit insists on continuing and completing academic assignments and thus increases academic grit. It can also be said that people with high grit are more eager to start academic activities and assignments, which can improve the level of skills and thus create a balance between challenges and skills, and thus increase academic flow. One of the important elements of academic grit that leads students to academic thriving is individual enthusiasm to achieve an important goal. Because the main cause of academic thriving is the desire to</w:t>
      </w:r>
    </w:p>
    <w:p w14:paraId="0000019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learn new things, academic grit, due to its characteristics such as desire to learn and consistency in</w:t>
      </w:r>
    </w:p>
    <w:p w14:paraId="0000019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thinking and perseverance in learning, engages the learner in continuous learning to grow and change.</w:t>
      </w:r>
    </w:p>
    <w:p w14:paraId="0000019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By overcoming academic barriers and challenges, academic grit always encourages and guides the</w:t>
      </w:r>
    </w:p>
    <w:p w14:paraId="0000019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learner to learn new topics.</w:t>
      </w:r>
    </w:p>
    <w:p w14:paraId="0000019B" w14:textId="77777777" w:rsidR="003D1844" w:rsidRDefault="003D1844">
      <w:pPr>
        <w:rPr>
          <w:rFonts w:ascii="Calibri" w:eastAsia="Calibri" w:hAnsi="Calibri" w:cs="Calibri"/>
          <w:i/>
          <w:iCs/>
          <w:sz w:val="20"/>
          <w:szCs w:val="20"/>
        </w:rPr>
      </w:pPr>
    </w:p>
    <w:p w14:paraId="0000019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Explaining the effect of academic grit on academic flow and academic thriving through adaptive</w:t>
      </w:r>
    </w:p>
    <w:p w14:paraId="0000019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coping style, it can be said that academic grit by increasing adaptive coping style components such as</w:t>
      </w:r>
    </w:p>
    <w:p w14:paraId="0000019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planning, active efforts to reduce academic problems, increase commitment to problem solving, and</w:t>
      </w:r>
    </w:p>
    <w:p w14:paraId="0000019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self-encouragement sets the stage for academic flow and academic thriving. </w:t>
      </w:r>
    </w:p>
    <w:p w14:paraId="000001A0" w14:textId="77777777" w:rsidR="003D1844" w:rsidRDefault="003D1844">
      <w:pPr>
        <w:rPr>
          <w:rFonts w:ascii="Calibri" w:eastAsia="Calibri" w:hAnsi="Calibri" w:cs="Calibri"/>
          <w:i/>
          <w:iCs/>
          <w:sz w:val="20"/>
          <w:szCs w:val="20"/>
        </w:rPr>
      </w:pPr>
    </w:p>
    <w:p w14:paraId="000001A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Research by Smith et al.(2020), Marty-Dugas and Smilek (2019), and Ralph et al. (2017) show that grit is associated with academic flow. One of the reasons for this relationship is that consistency in interest in the subject</w:t>
      </w:r>
    </w:p>
    <w:p w14:paraId="000001A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increases intrinsic motivation and this motivation increases academic flow. In addition, academic grit</w:t>
      </w:r>
    </w:p>
    <w:p w14:paraId="000001A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insists on continuing and completing academic assignments, which causes less distraction from the</w:t>
      </w:r>
    </w:p>
    <w:p w14:paraId="000001A4"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subject under study and thus increases academic flow. It can also be said that people with grit are more eager to start academic activities and assignments, which can improve the level of skills and thus create a balance between challenges and skills and thus more academic flow.</w:t>
      </w:r>
    </w:p>
    <w:p w14:paraId="000001A5" w14:textId="77777777" w:rsidR="003D1844" w:rsidRDefault="003D1844">
      <w:pPr>
        <w:rPr>
          <w:rFonts w:ascii="Calibri" w:eastAsia="Calibri" w:hAnsi="Calibri" w:cs="Calibri"/>
          <w:i/>
          <w:iCs/>
          <w:sz w:val="20"/>
          <w:szCs w:val="20"/>
        </w:rPr>
      </w:pPr>
    </w:p>
    <w:p w14:paraId="000001A6"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Students with more academic grit use more academic adaptation styles such as positive framing,</w:t>
      </w:r>
    </w:p>
    <w:p w14:paraId="000001A7"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planning, and active adaptation. Academic grit allows students to view stress in a positive light and instead of seeing stress as a threat, they see it as an opportunity for growth and development. In</w:t>
      </w:r>
    </w:p>
    <w:p w14:paraId="000001A8"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addition, academic grit allows students to design an action plan for their future and take the initiative</w:t>
      </w:r>
    </w:p>
    <w:p w14:paraId="000001A9"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to change position. As a result, it promotes academic flow and academic thriving.</w:t>
      </w:r>
    </w:p>
    <w:p w14:paraId="000001A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In general, based on the findings of the present study and the importance and impact of grit on</w:t>
      </w:r>
    </w:p>
    <w:p w14:paraId="000001A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students' flow and academic thriving, it is suggested that through the educational workshops, teach the</w:t>
      </w:r>
    </w:p>
    <w:p w14:paraId="000001A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necessary knowledge to students and teachers about these variables. It is also suggested that the</w:t>
      </w:r>
    </w:p>
    <w:p w14:paraId="000001A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educational system encourage continuity and perseverance in achieving long</w:t>
      </w:r>
    </w:p>
    <w:p w14:paraId="000001A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-term educational goals in students. Finally, it is suggested that the education system teach students an adaptive academic coping style so that students can use these styles to achieve academic flow and academic thriving.</w:t>
      </w:r>
    </w:p>
    <w:p w14:paraId="000001AF" w14:textId="77777777" w:rsidR="003D1844" w:rsidRDefault="003D1844">
      <w:pPr>
        <w:rPr>
          <w:rFonts w:ascii="Calibri" w:eastAsia="Calibri" w:hAnsi="Calibri" w:cs="Calibri"/>
          <w:i/>
          <w:iCs/>
          <w:sz w:val="20"/>
          <w:szCs w:val="20"/>
        </w:rPr>
      </w:pPr>
    </w:p>
    <w:p w14:paraId="000001B0" w14:textId="77777777" w:rsidR="003D1844" w:rsidRDefault="003D1844">
      <w:pPr>
        <w:rPr>
          <w:rFonts w:ascii="Calibri" w:eastAsia="Calibri" w:hAnsi="Calibri" w:cs="Calibri"/>
          <w:b/>
          <w:bCs/>
          <w:i/>
          <w:iCs/>
          <w:sz w:val="20"/>
          <w:szCs w:val="20"/>
        </w:rPr>
      </w:pPr>
    </w:p>
    <w:p w14:paraId="000001B1"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F7: Grit is passion and perseverance for long-term goals. Grit is about having what some researchers call an”ultimate concern”–a goal you care about so much that it organizes and gives meaning to almost everything you do. And grit is holding steadfast to that goal. Even when you fall down. Even when you screw up. Even when progress toward that goal is halting or slow.</w:t>
      </w:r>
    </w:p>
    <w:p w14:paraId="000001B2" w14:textId="77777777" w:rsidR="003D1844" w:rsidRDefault="003D1844">
      <w:pPr>
        <w:rPr>
          <w:rFonts w:ascii="Calibri" w:eastAsia="Calibri" w:hAnsi="Calibri" w:cs="Calibri"/>
          <w:i/>
          <w:iCs/>
          <w:sz w:val="20"/>
          <w:szCs w:val="20"/>
        </w:rPr>
      </w:pPr>
    </w:p>
    <w:p w14:paraId="000001B3"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Talent and luck matter to success. But talent and luck are no guarantee of grit. And in the very long run, I think grit may matter at least as much, if not more.</w:t>
      </w:r>
    </w:p>
    <w:p w14:paraId="000001B4" w14:textId="77777777" w:rsidR="003D1844" w:rsidRDefault="003D1844">
      <w:pPr>
        <w:rPr>
          <w:rFonts w:ascii="Calibri" w:eastAsia="Calibri" w:hAnsi="Calibri" w:cs="Calibri"/>
          <w:i/>
          <w:iCs/>
          <w:sz w:val="20"/>
          <w:szCs w:val="20"/>
        </w:rPr>
      </w:pPr>
    </w:p>
    <w:p w14:paraId="000001B5" w14:textId="77777777" w:rsidR="003D1844" w:rsidRDefault="003D1844">
      <w:pPr>
        <w:rPr>
          <w:rFonts w:ascii="Calibri" w:eastAsia="Calibri" w:hAnsi="Calibri" w:cs="Calibri"/>
          <w:i/>
          <w:iCs/>
          <w:sz w:val="20"/>
          <w:szCs w:val="20"/>
        </w:rPr>
      </w:pPr>
    </w:p>
    <w:p w14:paraId="000001B6" w14:textId="77777777" w:rsidR="003D1844" w:rsidRDefault="00000000">
      <w:pPr>
        <w:rPr>
          <w:rFonts w:ascii="Calibri" w:eastAsia="Calibri" w:hAnsi="Calibri" w:cs="Calibri"/>
          <w:i/>
          <w:iCs/>
          <w:sz w:val="20"/>
          <w:szCs w:val="20"/>
          <w:u w:val="single"/>
        </w:rPr>
      </w:pPr>
      <w:r>
        <w:rPr>
          <w:rFonts w:ascii="Calibri" w:eastAsia="Calibri" w:hAnsi="Calibri" w:cs="Calibri"/>
          <w:i/>
          <w:iCs/>
          <w:sz w:val="20"/>
          <w:szCs w:val="20"/>
          <w:u w:val="single"/>
        </w:rPr>
        <w:t xml:space="preserve">NOTE: academic flow is related, if not directly tied to, the persistence one would have towards improving their academics. </w:t>
      </w:r>
    </w:p>
    <w:p w14:paraId="000001B7" w14:textId="77777777" w:rsidR="003D1844" w:rsidRDefault="003D1844">
      <w:pPr>
        <w:rPr>
          <w:rFonts w:ascii="Calibri" w:eastAsia="Calibri" w:hAnsi="Calibri" w:cs="Calibri"/>
          <w:i/>
          <w:iCs/>
          <w:sz w:val="20"/>
          <w:szCs w:val="20"/>
        </w:rPr>
      </w:pPr>
    </w:p>
    <w:p w14:paraId="000001B8" w14:textId="77777777" w:rsidR="003D1844" w:rsidRDefault="003D1844">
      <w:pPr>
        <w:rPr>
          <w:rFonts w:ascii="Calibri" w:eastAsia="Calibri" w:hAnsi="Calibri" w:cs="Calibri"/>
          <w:i/>
          <w:iCs/>
          <w:sz w:val="20"/>
          <w:szCs w:val="20"/>
        </w:rPr>
      </w:pPr>
    </w:p>
    <w:p w14:paraId="000001B9" w14:textId="77777777" w:rsidR="003D1844" w:rsidRDefault="003D1844">
      <w:pPr>
        <w:rPr>
          <w:rFonts w:ascii="Calibri" w:eastAsia="Calibri" w:hAnsi="Calibri" w:cs="Calibri"/>
          <w:i/>
          <w:iCs/>
          <w:sz w:val="20"/>
          <w:szCs w:val="20"/>
        </w:rPr>
      </w:pPr>
    </w:p>
    <w:p w14:paraId="000001BA"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F1 </w:t>
      </w:r>
      <w:hyperlink r:id="rId26">
        <w:r>
          <w:rPr>
            <w:rFonts w:ascii="Calibri" w:eastAsia="Calibri" w:hAnsi="Calibri" w:cs="Calibri"/>
            <w:i/>
            <w:iCs/>
            <w:color w:val="1155CC"/>
            <w:sz w:val="20"/>
            <w:szCs w:val="20"/>
            <w:u w:val="single"/>
          </w:rPr>
          <w:t>https://pmc.ncbi.nlm.nih.gov/articles/PMC8329028/</w:t>
        </w:r>
      </w:hyperlink>
      <w:r>
        <w:rPr>
          <w:rFonts w:ascii="Calibri" w:eastAsia="Calibri" w:hAnsi="Calibri" w:cs="Calibri"/>
          <w:i/>
          <w:iCs/>
          <w:sz w:val="20"/>
          <w:szCs w:val="20"/>
        </w:rPr>
        <w:t xml:space="preserve"> </w:t>
      </w:r>
    </w:p>
    <w:p w14:paraId="000001BB"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F2 </w:t>
      </w:r>
      <w:hyperlink r:id="rId27">
        <w:r>
          <w:rPr>
            <w:rFonts w:ascii="Calibri" w:eastAsia="Calibri" w:hAnsi="Calibri" w:cs="Calibri"/>
            <w:i/>
            <w:iCs/>
            <w:color w:val="1155CC"/>
            <w:sz w:val="20"/>
            <w:szCs w:val="20"/>
            <w:u w:val="single"/>
          </w:rPr>
          <w:t>https://news.stanford.edu/stories/2021/09/mindsets-clearing-lens-life</w:t>
        </w:r>
      </w:hyperlink>
      <w:r>
        <w:rPr>
          <w:rFonts w:ascii="Calibri" w:eastAsia="Calibri" w:hAnsi="Calibri" w:cs="Calibri"/>
          <w:i/>
          <w:iCs/>
          <w:sz w:val="20"/>
          <w:szCs w:val="20"/>
        </w:rPr>
        <w:t xml:space="preserve"> </w:t>
      </w:r>
    </w:p>
    <w:p w14:paraId="000001BC"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F3 </w:t>
      </w:r>
      <w:hyperlink r:id="rId28">
        <w:r>
          <w:rPr>
            <w:rFonts w:ascii="Calibri" w:eastAsia="Calibri" w:hAnsi="Calibri" w:cs="Calibri"/>
            <w:i/>
            <w:iCs/>
            <w:color w:val="1155CC"/>
            <w:sz w:val="20"/>
            <w:szCs w:val="20"/>
            <w:u w:val="single"/>
          </w:rPr>
          <w:t>https://pmc.ncbi.nlm.nih.gov/articles/PMC4573351/</w:t>
        </w:r>
      </w:hyperlink>
      <w:r>
        <w:rPr>
          <w:rFonts w:ascii="Calibri" w:eastAsia="Calibri" w:hAnsi="Calibri" w:cs="Calibri"/>
          <w:i/>
          <w:iCs/>
          <w:sz w:val="20"/>
          <w:szCs w:val="20"/>
        </w:rPr>
        <w:t xml:space="preserve"> </w:t>
      </w:r>
    </w:p>
    <w:p w14:paraId="000001BD"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F4 </w:t>
      </w:r>
      <w:hyperlink r:id="rId29">
        <w:r>
          <w:rPr>
            <w:rFonts w:ascii="Calibri" w:eastAsia="Calibri" w:hAnsi="Calibri" w:cs="Calibri"/>
            <w:i/>
            <w:iCs/>
            <w:color w:val="1155CC"/>
            <w:sz w:val="20"/>
            <w:szCs w:val="20"/>
            <w:u w:val="single"/>
          </w:rPr>
          <w:t>https://pmc.ncbi.nlm.nih.gov/articles/PMC4442090/</w:t>
        </w:r>
      </w:hyperlink>
      <w:r>
        <w:rPr>
          <w:rFonts w:ascii="Calibri" w:eastAsia="Calibri" w:hAnsi="Calibri" w:cs="Calibri"/>
          <w:i/>
          <w:iCs/>
          <w:sz w:val="20"/>
          <w:szCs w:val="20"/>
        </w:rPr>
        <w:t xml:space="preserve"> </w:t>
      </w:r>
    </w:p>
    <w:p w14:paraId="000001BE"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F5 </w:t>
      </w:r>
      <w:hyperlink r:id="rId30">
        <w:r>
          <w:rPr>
            <w:rFonts w:ascii="Calibri" w:eastAsia="Calibri" w:hAnsi="Calibri" w:cs="Calibri"/>
            <w:i/>
            <w:iCs/>
            <w:color w:val="1155CC"/>
            <w:sz w:val="20"/>
            <w:szCs w:val="20"/>
            <w:u w:val="single"/>
          </w:rPr>
          <w:t>https://pmc.ncbi.nlm.nih.gov/articles/PMC2872051/</w:t>
        </w:r>
      </w:hyperlink>
      <w:r>
        <w:rPr>
          <w:rFonts w:ascii="Calibri" w:eastAsia="Calibri" w:hAnsi="Calibri" w:cs="Calibri"/>
          <w:i/>
          <w:iCs/>
          <w:sz w:val="20"/>
          <w:szCs w:val="20"/>
        </w:rPr>
        <w:t xml:space="preserve"> </w:t>
      </w:r>
    </w:p>
    <w:p w14:paraId="000001BF"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F6 </w:t>
      </w:r>
      <w:hyperlink r:id="rId31">
        <w:r>
          <w:rPr>
            <w:rFonts w:ascii="Calibri" w:eastAsia="Calibri" w:hAnsi="Calibri" w:cs="Calibri"/>
            <w:i/>
            <w:iCs/>
            <w:color w:val="1155CC"/>
            <w:sz w:val="20"/>
            <w:szCs w:val="20"/>
            <w:u w:val="single"/>
          </w:rPr>
          <w:t>https://ieepj.hormozgan.ac.ir/article-1-384-en.pdf</w:t>
        </w:r>
      </w:hyperlink>
      <w:r>
        <w:rPr>
          <w:rFonts w:ascii="Calibri" w:eastAsia="Calibri" w:hAnsi="Calibri" w:cs="Calibri"/>
          <w:i/>
          <w:iCs/>
          <w:sz w:val="20"/>
          <w:szCs w:val="20"/>
        </w:rPr>
        <w:t xml:space="preserve"> </w:t>
      </w:r>
    </w:p>
    <w:p w14:paraId="000001C0"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t xml:space="preserve">F7 </w:t>
      </w:r>
      <w:hyperlink r:id="rId32">
        <w:r>
          <w:rPr>
            <w:rFonts w:ascii="Calibri" w:eastAsia="Calibri" w:hAnsi="Calibri" w:cs="Calibri"/>
            <w:i/>
            <w:iCs/>
            <w:color w:val="1155CC"/>
            <w:sz w:val="20"/>
            <w:szCs w:val="20"/>
            <w:u w:val="single"/>
          </w:rPr>
          <w:t>https://angeladuckworth.com/qa/</w:t>
        </w:r>
      </w:hyperlink>
      <w:r>
        <w:rPr>
          <w:rFonts w:ascii="Calibri" w:eastAsia="Calibri" w:hAnsi="Calibri" w:cs="Calibri"/>
          <w:i/>
          <w:iCs/>
          <w:sz w:val="20"/>
          <w:szCs w:val="20"/>
        </w:rPr>
        <w:t xml:space="preserve"> </w:t>
      </w:r>
    </w:p>
    <w:p w14:paraId="000001C1" w14:textId="77777777" w:rsidR="003D1844" w:rsidRDefault="003D1844">
      <w:pPr>
        <w:rPr>
          <w:rFonts w:ascii="Calibri" w:eastAsia="Calibri" w:hAnsi="Calibri" w:cs="Calibri"/>
        </w:rPr>
      </w:pPr>
    </w:p>
    <w:p w14:paraId="000001C2" w14:textId="77777777" w:rsidR="003D1844" w:rsidRDefault="00000000">
      <w:pPr>
        <w:rPr>
          <w:rFonts w:ascii="Calibri" w:eastAsia="Calibri" w:hAnsi="Calibri" w:cs="Calibri"/>
          <w:i/>
          <w:iCs/>
          <w:sz w:val="20"/>
          <w:szCs w:val="20"/>
        </w:rPr>
      </w:pPr>
      <w:r>
        <w:rPr>
          <w:rFonts w:ascii="Calibri" w:eastAsia="Calibri" w:hAnsi="Calibri" w:cs="Calibri"/>
          <w:i/>
          <w:iCs/>
          <w:sz w:val="20"/>
          <w:szCs w:val="20"/>
        </w:rPr>
        <w:lastRenderedPageBreak/>
        <w:t>Stress can be defined as a state of worry or mental tension caused by a difficult situation. Stress is a natural human response that prompts us to address challenges and threats in our lives. Everyone experiences stress to some degree. The way we respond to stress, however, makes a big difference to our overall well-being.</w:t>
      </w:r>
    </w:p>
    <w:p w14:paraId="000001C3" w14:textId="77777777" w:rsidR="003D1844" w:rsidRDefault="003D1844">
      <w:pPr>
        <w:rPr>
          <w:rFonts w:ascii="Calibri" w:eastAsia="Calibri" w:hAnsi="Calibri" w:cs="Calibri"/>
          <w:i/>
          <w:iCs/>
          <w:sz w:val="20"/>
          <w:szCs w:val="20"/>
        </w:rPr>
      </w:pPr>
    </w:p>
    <w:p w14:paraId="000001C4" w14:textId="77777777" w:rsidR="003D1844" w:rsidRDefault="00000000">
      <w:pPr>
        <w:rPr>
          <w:rFonts w:ascii="Calibri" w:eastAsia="Calibri" w:hAnsi="Calibri" w:cs="Calibri"/>
        </w:rPr>
      </w:pPr>
      <w:r>
        <w:rPr>
          <w:rFonts w:ascii="Calibri" w:eastAsia="Calibri" w:hAnsi="Calibri" w:cs="Calibri"/>
          <w:i/>
          <w:iCs/>
          <w:sz w:val="20"/>
          <w:szCs w:val="20"/>
        </w:rPr>
        <w:t xml:space="preserve">F1 </w:t>
      </w:r>
      <w:hyperlink r:id="rId33">
        <w:r>
          <w:rPr>
            <w:rFonts w:ascii="Calibri" w:eastAsia="Calibri" w:hAnsi="Calibri" w:cs="Calibri"/>
            <w:i/>
            <w:iCs/>
            <w:color w:val="1155CC"/>
            <w:sz w:val="20"/>
            <w:szCs w:val="20"/>
            <w:u w:val="single"/>
          </w:rPr>
          <w:t>https://www.who.int/news-room/questions-and-answers/item/stress</w:t>
        </w:r>
      </w:hyperlink>
      <w:r>
        <w:rPr>
          <w:rFonts w:ascii="Calibri" w:eastAsia="Calibri" w:hAnsi="Calibri" w:cs="Calibri"/>
          <w:i/>
          <w:iCs/>
          <w:sz w:val="20"/>
          <w:szCs w:val="20"/>
        </w:rPr>
        <w:t xml:space="preserve"> </w:t>
      </w:r>
    </w:p>
    <w:p w14:paraId="000001C5" w14:textId="77777777" w:rsidR="003D1844" w:rsidRDefault="003D1844">
      <w:pPr>
        <w:rPr>
          <w:rFonts w:ascii="Calibri" w:eastAsia="Calibri" w:hAnsi="Calibri" w:cs="Calibri"/>
        </w:rPr>
      </w:pPr>
    </w:p>
    <w:p w14:paraId="000001C6" w14:textId="77777777" w:rsidR="003D1844" w:rsidRDefault="00000000">
      <w:pPr>
        <w:rPr>
          <w:rFonts w:ascii="Karla" w:eastAsia="Karla" w:hAnsi="Karla" w:cs="Karla"/>
          <w:sz w:val="26"/>
          <w:szCs w:val="26"/>
        </w:rPr>
      </w:pPr>
      <w:r>
        <w:rPr>
          <w:rFonts w:ascii="Karla" w:eastAsia="Karla" w:hAnsi="Karla" w:cs="Karla"/>
          <w:sz w:val="26"/>
          <w:szCs w:val="26"/>
        </w:rPr>
        <w:t>February 16, 2026</w:t>
      </w:r>
    </w:p>
    <w:p w14:paraId="000001C7" w14:textId="77777777" w:rsidR="003D1844" w:rsidRDefault="00000000">
      <w:pPr>
        <w:numPr>
          <w:ilvl w:val="0"/>
          <w:numId w:val="3"/>
        </w:numPr>
        <w:rPr>
          <w:rFonts w:ascii="Calibri" w:eastAsia="Calibri" w:hAnsi="Calibri" w:cs="Calibri"/>
        </w:rPr>
      </w:pPr>
      <w:r>
        <w:rPr>
          <w:rFonts w:ascii="Calibri" w:eastAsia="Calibri" w:hAnsi="Calibri" w:cs="Calibri"/>
        </w:rPr>
        <w:t>Began answering the problem section of CYSF online project.</w:t>
      </w:r>
    </w:p>
    <w:p w14:paraId="000001C8" w14:textId="77777777" w:rsidR="003D1844" w:rsidRDefault="00000000">
      <w:pPr>
        <w:numPr>
          <w:ilvl w:val="0"/>
          <w:numId w:val="6"/>
        </w:numPr>
        <w:rPr>
          <w:rFonts w:ascii="Calibri" w:eastAsia="Calibri" w:hAnsi="Calibri" w:cs="Calibri"/>
        </w:rPr>
      </w:pPr>
      <w:r>
        <w:rPr>
          <w:rFonts w:ascii="Calibri" w:eastAsia="Calibri" w:hAnsi="Calibri" w:cs="Calibri"/>
        </w:rPr>
        <w:t>Finalized surveys and experiment structure in order to execute experimentations.</w:t>
      </w:r>
    </w:p>
    <w:p w14:paraId="000001C9" w14:textId="77777777" w:rsidR="003D1844" w:rsidRDefault="00000000">
      <w:pPr>
        <w:numPr>
          <w:ilvl w:val="0"/>
          <w:numId w:val="6"/>
        </w:numPr>
        <w:rPr>
          <w:rFonts w:ascii="Calibri" w:eastAsia="Calibri" w:hAnsi="Calibri" w:cs="Calibri"/>
        </w:rPr>
      </w:pPr>
      <w:r>
        <w:rPr>
          <w:rFonts w:ascii="Calibri" w:eastAsia="Calibri" w:hAnsi="Calibri" w:cs="Calibri"/>
        </w:rPr>
        <w:t xml:space="preserve">Gained permission from science fair coordinator to conduct the experiments. </w:t>
      </w:r>
    </w:p>
    <w:p w14:paraId="000001CA" w14:textId="77777777" w:rsidR="003D1844" w:rsidRDefault="003D1844">
      <w:pPr>
        <w:rPr>
          <w:rFonts w:ascii="Calibri" w:eastAsia="Calibri" w:hAnsi="Calibri" w:cs="Calibri"/>
        </w:rPr>
      </w:pPr>
    </w:p>
    <w:p w14:paraId="000001CB" w14:textId="77777777" w:rsidR="003D1844" w:rsidRDefault="00000000">
      <w:pPr>
        <w:rPr>
          <w:rFonts w:ascii="Karla" w:eastAsia="Karla" w:hAnsi="Karla" w:cs="Karla"/>
          <w:sz w:val="26"/>
          <w:szCs w:val="26"/>
        </w:rPr>
      </w:pPr>
      <w:r>
        <w:rPr>
          <w:rFonts w:ascii="Karla" w:eastAsia="Karla" w:hAnsi="Karla" w:cs="Karla"/>
          <w:sz w:val="26"/>
          <w:szCs w:val="26"/>
        </w:rPr>
        <w:t>February 18, 2026</w:t>
      </w:r>
    </w:p>
    <w:p w14:paraId="000001CC" w14:textId="77777777" w:rsidR="003D1844" w:rsidRDefault="00000000">
      <w:pPr>
        <w:numPr>
          <w:ilvl w:val="0"/>
          <w:numId w:val="3"/>
        </w:numPr>
        <w:rPr>
          <w:rFonts w:ascii="Calibri" w:eastAsia="Calibri" w:hAnsi="Calibri" w:cs="Calibri"/>
        </w:rPr>
      </w:pPr>
      <w:r>
        <w:rPr>
          <w:rFonts w:ascii="Calibri" w:eastAsia="Calibri" w:hAnsi="Calibri" w:cs="Calibri"/>
        </w:rPr>
        <w:t xml:space="preserve">Finished problem section, began method section. </w:t>
      </w:r>
    </w:p>
    <w:p w14:paraId="000001CD" w14:textId="77777777" w:rsidR="003D1844" w:rsidRDefault="003D1844">
      <w:pPr>
        <w:rPr>
          <w:rFonts w:ascii="Calibri" w:eastAsia="Calibri" w:hAnsi="Calibri" w:cs="Calibri"/>
        </w:rPr>
      </w:pPr>
    </w:p>
    <w:p w14:paraId="000001CE" w14:textId="77777777" w:rsidR="003D1844" w:rsidRDefault="00000000">
      <w:pPr>
        <w:rPr>
          <w:rFonts w:ascii="Karla" w:eastAsia="Karla" w:hAnsi="Karla" w:cs="Karla"/>
          <w:sz w:val="26"/>
          <w:szCs w:val="26"/>
        </w:rPr>
      </w:pPr>
      <w:r>
        <w:rPr>
          <w:rFonts w:ascii="Karla" w:eastAsia="Karla" w:hAnsi="Karla" w:cs="Karla"/>
          <w:sz w:val="26"/>
          <w:szCs w:val="26"/>
        </w:rPr>
        <w:t>February 19 and 20, 2026</w:t>
      </w:r>
    </w:p>
    <w:p w14:paraId="000001CF" w14:textId="77777777" w:rsidR="003D1844" w:rsidRDefault="00000000">
      <w:pPr>
        <w:numPr>
          <w:ilvl w:val="0"/>
          <w:numId w:val="1"/>
        </w:numPr>
        <w:rPr>
          <w:rFonts w:ascii="Calibri" w:eastAsia="Calibri" w:hAnsi="Calibri" w:cs="Calibri"/>
        </w:rPr>
      </w:pPr>
      <w:r>
        <w:rPr>
          <w:rFonts w:ascii="Calibri" w:eastAsia="Calibri" w:hAnsi="Calibri" w:cs="Calibri"/>
        </w:rPr>
        <w:t>Found willing participants, gave out consent forms.</w:t>
      </w:r>
    </w:p>
    <w:p w14:paraId="000001D0" w14:textId="77777777" w:rsidR="003D1844" w:rsidRDefault="00000000">
      <w:pPr>
        <w:numPr>
          <w:ilvl w:val="0"/>
          <w:numId w:val="1"/>
        </w:numPr>
        <w:rPr>
          <w:rFonts w:ascii="Calibri" w:eastAsia="Calibri" w:hAnsi="Calibri" w:cs="Calibri"/>
        </w:rPr>
      </w:pPr>
      <w:r>
        <w:rPr>
          <w:rFonts w:ascii="Calibri" w:eastAsia="Calibri" w:hAnsi="Calibri" w:cs="Calibri"/>
        </w:rPr>
        <w:t xml:space="preserve">Communicated about days, time, what the experiment would be about, time it would take, etc. </w:t>
      </w:r>
    </w:p>
    <w:p w14:paraId="000001D1" w14:textId="77777777" w:rsidR="003D1844" w:rsidRDefault="00000000">
      <w:pPr>
        <w:rPr>
          <w:rFonts w:ascii="Calibri" w:eastAsia="Calibri" w:hAnsi="Calibri" w:cs="Calibri"/>
        </w:rPr>
      </w:pPr>
      <w:r>
        <w:rPr>
          <w:rFonts w:ascii="Calibri" w:eastAsia="Calibri" w:hAnsi="Calibri" w:cs="Calibri"/>
        </w:rPr>
        <w:t xml:space="preserve"> </w:t>
      </w:r>
    </w:p>
    <w:p w14:paraId="000001D2" w14:textId="77777777" w:rsidR="003D1844" w:rsidRDefault="00000000">
      <w:pPr>
        <w:rPr>
          <w:rFonts w:ascii="Karla" w:eastAsia="Karla" w:hAnsi="Karla" w:cs="Karla"/>
          <w:sz w:val="26"/>
          <w:szCs w:val="26"/>
        </w:rPr>
      </w:pPr>
      <w:r>
        <w:rPr>
          <w:rFonts w:ascii="Karla" w:eastAsia="Karla" w:hAnsi="Karla" w:cs="Karla"/>
          <w:sz w:val="26"/>
          <w:szCs w:val="26"/>
        </w:rPr>
        <w:t>February 22, 2026</w:t>
      </w:r>
    </w:p>
    <w:p w14:paraId="000001D3" w14:textId="77777777" w:rsidR="003D1844" w:rsidRDefault="00000000">
      <w:pPr>
        <w:numPr>
          <w:ilvl w:val="0"/>
          <w:numId w:val="9"/>
        </w:numPr>
        <w:rPr>
          <w:rFonts w:ascii="Calibri" w:eastAsia="Calibri" w:hAnsi="Calibri" w:cs="Calibri"/>
        </w:rPr>
      </w:pPr>
      <w:r>
        <w:rPr>
          <w:rFonts w:ascii="Calibri" w:eastAsia="Calibri" w:hAnsi="Calibri" w:cs="Calibri"/>
        </w:rPr>
        <w:t>Finished the Method Section</w:t>
      </w:r>
    </w:p>
    <w:p w14:paraId="000001D4" w14:textId="77777777" w:rsidR="003D1844" w:rsidRDefault="00000000">
      <w:pPr>
        <w:numPr>
          <w:ilvl w:val="0"/>
          <w:numId w:val="9"/>
        </w:numPr>
        <w:rPr>
          <w:rFonts w:ascii="Calibri" w:eastAsia="Calibri" w:hAnsi="Calibri" w:cs="Calibri"/>
        </w:rPr>
      </w:pPr>
      <w:r>
        <w:rPr>
          <w:rFonts w:ascii="Calibri" w:eastAsia="Calibri" w:hAnsi="Calibri" w:cs="Calibri"/>
        </w:rPr>
        <w:t>Organized research in my google docs by adding comments to what it relates to.</w:t>
      </w:r>
    </w:p>
    <w:p w14:paraId="000001D5" w14:textId="77777777" w:rsidR="003D1844" w:rsidRDefault="003D1844">
      <w:pPr>
        <w:rPr>
          <w:rFonts w:ascii="Calibri" w:eastAsia="Calibri" w:hAnsi="Calibri" w:cs="Calibri"/>
        </w:rPr>
      </w:pPr>
    </w:p>
    <w:p w14:paraId="000001D6" w14:textId="77777777" w:rsidR="003D1844" w:rsidRDefault="00000000">
      <w:pPr>
        <w:rPr>
          <w:rFonts w:ascii="Karla" w:eastAsia="Karla" w:hAnsi="Karla" w:cs="Karla"/>
          <w:sz w:val="26"/>
          <w:szCs w:val="26"/>
        </w:rPr>
      </w:pPr>
      <w:r>
        <w:rPr>
          <w:rFonts w:ascii="Karla" w:eastAsia="Karla" w:hAnsi="Karla" w:cs="Karla"/>
          <w:sz w:val="26"/>
          <w:szCs w:val="26"/>
        </w:rPr>
        <w:t>February 23, 2026</w:t>
      </w:r>
    </w:p>
    <w:p w14:paraId="000001D7" w14:textId="77777777" w:rsidR="003D1844" w:rsidRDefault="00000000">
      <w:pPr>
        <w:numPr>
          <w:ilvl w:val="0"/>
          <w:numId w:val="2"/>
        </w:numPr>
        <w:rPr>
          <w:rFonts w:ascii="Calibri" w:eastAsia="Calibri" w:hAnsi="Calibri" w:cs="Calibri"/>
        </w:rPr>
      </w:pPr>
      <w:r>
        <w:rPr>
          <w:rFonts w:ascii="Calibri" w:eastAsia="Calibri" w:hAnsi="Calibri" w:cs="Calibri"/>
        </w:rPr>
        <w:t>Readjusted method and began the research portion by writing a rough idea of what I want it to include in a draft document.</w:t>
      </w:r>
    </w:p>
    <w:p w14:paraId="000001D8" w14:textId="77777777" w:rsidR="003D1844" w:rsidRDefault="00000000">
      <w:pPr>
        <w:numPr>
          <w:ilvl w:val="0"/>
          <w:numId w:val="2"/>
        </w:numPr>
        <w:rPr>
          <w:rFonts w:ascii="Calibri" w:eastAsia="Calibri" w:hAnsi="Calibri" w:cs="Calibri"/>
        </w:rPr>
      </w:pPr>
      <w:r>
        <w:rPr>
          <w:rFonts w:ascii="Calibri" w:eastAsia="Calibri" w:hAnsi="Calibri" w:cs="Calibri"/>
        </w:rPr>
        <w:t>Went to the Science Fair meeting at lunch.</w:t>
      </w:r>
    </w:p>
    <w:p w14:paraId="000001D9" w14:textId="77777777" w:rsidR="003D1844" w:rsidRDefault="00000000">
      <w:pPr>
        <w:numPr>
          <w:ilvl w:val="0"/>
          <w:numId w:val="2"/>
        </w:numPr>
        <w:rPr>
          <w:rFonts w:ascii="Calibri" w:eastAsia="Calibri" w:hAnsi="Calibri" w:cs="Calibri"/>
        </w:rPr>
      </w:pPr>
      <w:r>
        <w:rPr>
          <w:rFonts w:ascii="Calibri" w:eastAsia="Calibri" w:hAnsi="Calibri" w:cs="Calibri"/>
        </w:rPr>
        <w:t>Received consent form from first participant.</w:t>
      </w:r>
    </w:p>
    <w:p w14:paraId="000001DA" w14:textId="77777777" w:rsidR="003D1844" w:rsidRDefault="003D1844">
      <w:pPr>
        <w:rPr>
          <w:rFonts w:ascii="Calibri" w:eastAsia="Calibri" w:hAnsi="Calibri" w:cs="Calibri"/>
        </w:rPr>
      </w:pPr>
    </w:p>
    <w:p w14:paraId="000001DB" w14:textId="77777777" w:rsidR="003D1844" w:rsidRDefault="00000000">
      <w:pPr>
        <w:rPr>
          <w:rFonts w:ascii="Karla" w:eastAsia="Karla" w:hAnsi="Karla" w:cs="Karla"/>
          <w:sz w:val="26"/>
          <w:szCs w:val="26"/>
        </w:rPr>
      </w:pPr>
      <w:r>
        <w:rPr>
          <w:rFonts w:ascii="Karla" w:eastAsia="Karla" w:hAnsi="Karla" w:cs="Karla"/>
          <w:sz w:val="26"/>
          <w:szCs w:val="26"/>
        </w:rPr>
        <w:t>February 24, 2026</w:t>
      </w:r>
    </w:p>
    <w:p w14:paraId="000001DC" w14:textId="77777777" w:rsidR="003D1844" w:rsidRDefault="00000000">
      <w:pPr>
        <w:numPr>
          <w:ilvl w:val="0"/>
          <w:numId w:val="2"/>
        </w:numPr>
        <w:rPr>
          <w:rFonts w:ascii="Calibri" w:eastAsia="Calibri" w:hAnsi="Calibri" w:cs="Calibri"/>
        </w:rPr>
      </w:pPr>
      <w:r>
        <w:rPr>
          <w:rFonts w:ascii="Calibri" w:eastAsia="Calibri" w:hAnsi="Calibri" w:cs="Calibri"/>
        </w:rPr>
        <w:t xml:space="preserve">Conducted first experiment during fourth period spare. It took about 30 minutes. </w:t>
      </w:r>
    </w:p>
    <w:p w14:paraId="000001DD" w14:textId="77777777" w:rsidR="003D1844" w:rsidRDefault="00000000">
      <w:pPr>
        <w:numPr>
          <w:ilvl w:val="0"/>
          <w:numId w:val="2"/>
        </w:numPr>
        <w:rPr>
          <w:rFonts w:ascii="Calibri" w:eastAsia="Calibri" w:hAnsi="Calibri" w:cs="Calibri"/>
        </w:rPr>
      </w:pPr>
      <w:r>
        <w:rPr>
          <w:rFonts w:ascii="Calibri" w:eastAsia="Calibri" w:hAnsi="Calibri" w:cs="Calibri"/>
        </w:rPr>
        <w:t>Received consent form from second participant.</w:t>
      </w:r>
    </w:p>
    <w:p w14:paraId="000001DE" w14:textId="77777777" w:rsidR="003D1844" w:rsidRDefault="00000000">
      <w:pPr>
        <w:numPr>
          <w:ilvl w:val="0"/>
          <w:numId w:val="2"/>
        </w:numPr>
        <w:rPr>
          <w:rFonts w:ascii="Calibri" w:eastAsia="Calibri" w:hAnsi="Calibri" w:cs="Calibri"/>
        </w:rPr>
      </w:pPr>
      <w:r>
        <w:rPr>
          <w:rFonts w:ascii="Calibri" w:eastAsia="Calibri" w:hAnsi="Calibri" w:cs="Calibri"/>
        </w:rPr>
        <w:t>Completed Acknowledgements section.</w:t>
      </w:r>
    </w:p>
    <w:p w14:paraId="000001DF" w14:textId="77777777" w:rsidR="003D1844" w:rsidRDefault="003D1844">
      <w:pPr>
        <w:rPr>
          <w:rFonts w:ascii="Calibri" w:eastAsia="Calibri" w:hAnsi="Calibri" w:cs="Calibri"/>
        </w:rPr>
      </w:pPr>
    </w:p>
    <w:p w14:paraId="000001E0" w14:textId="77777777" w:rsidR="003D1844" w:rsidRDefault="00000000">
      <w:pPr>
        <w:rPr>
          <w:rFonts w:ascii="Karla" w:eastAsia="Karla" w:hAnsi="Karla" w:cs="Karla"/>
          <w:sz w:val="26"/>
          <w:szCs w:val="26"/>
        </w:rPr>
      </w:pPr>
      <w:r>
        <w:rPr>
          <w:rFonts w:ascii="Karla" w:eastAsia="Karla" w:hAnsi="Karla" w:cs="Karla"/>
          <w:sz w:val="26"/>
          <w:szCs w:val="26"/>
        </w:rPr>
        <w:t>February 25, 2026</w:t>
      </w:r>
    </w:p>
    <w:p w14:paraId="000001E1" w14:textId="77777777" w:rsidR="003D1844" w:rsidRDefault="00000000">
      <w:pPr>
        <w:numPr>
          <w:ilvl w:val="0"/>
          <w:numId w:val="2"/>
        </w:numPr>
        <w:rPr>
          <w:rFonts w:ascii="Calibri" w:eastAsia="Calibri" w:hAnsi="Calibri" w:cs="Calibri"/>
        </w:rPr>
      </w:pPr>
      <w:r>
        <w:rPr>
          <w:rFonts w:ascii="Calibri" w:eastAsia="Calibri" w:hAnsi="Calibri" w:cs="Calibri"/>
        </w:rPr>
        <w:t>Conducted the second experiment after school; took about 30 minutes.</w:t>
      </w:r>
    </w:p>
    <w:p w14:paraId="000001E2" w14:textId="77777777" w:rsidR="003D1844" w:rsidRDefault="00000000">
      <w:pPr>
        <w:numPr>
          <w:ilvl w:val="0"/>
          <w:numId w:val="2"/>
        </w:numPr>
        <w:rPr>
          <w:rFonts w:ascii="Calibri" w:eastAsia="Calibri" w:hAnsi="Calibri" w:cs="Calibri"/>
        </w:rPr>
      </w:pPr>
      <w:r>
        <w:rPr>
          <w:rFonts w:ascii="Calibri" w:eastAsia="Calibri" w:hAnsi="Calibri" w:cs="Calibri"/>
        </w:rPr>
        <w:t xml:space="preserve">Received consent form from third and fourth participant. </w:t>
      </w:r>
    </w:p>
    <w:p w14:paraId="000001E3" w14:textId="77777777" w:rsidR="003D1844" w:rsidRDefault="003D1844">
      <w:pPr>
        <w:rPr>
          <w:rFonts w:ascii="Calibri" w:eastAsia="Calibri" w:hAnsi="Calibri" w:cs="Calibri"/>
        </w:rPr>
      </w:pPr>
    </w:p>
    <w:p w14:paraId="000001E4" w14:textId="77777777" w:rsidR="003D1844" w:rsidRDefault="00000000">
      <w:pPr>
        <w:rPr>
          <w:rFonts w:ascii="Calibri" w:eastAsia="Calibri" w:hAnsi="Calibri" w:cs="Calibri"/>
        </w:rPr>
      </w:pPr>
      <w:r>
        <w:rPr>
          <w:rFonts w:ascii="Karla" w:eastAsia="Karla" w:hAnsi="Karla" w:cs="Karla"/>
          <w:sz w:val="26"/>
          <w:szCs w:val="26"/>
        </w:rPr>
        <w:t>February 26, 2026</w:t>
      </w:r>
    </w:p>
    <w:p w14:paraId="000001E5" w14:textId="77777777" w:rsidR="003D1844" w:rsidRDefault="00000000">
      <w:pPr>
        <w:numPr>
          <w:ilvl w:val="0"/>
          <w:numId w:val="2"/>
        </w:numPr>
        <w:rPr>
          <w:rFonts w:ascii="Calibri" w:eastAsia="Calibri" w:hAnsi="Calibri" w:cs="Calibri"/>
        </w:rPr>
      </w:pPr>
      <w:r>
        <w:rPr>
          <w:rFonts w:ascii="Calibri" w:eastAsia="Calibri" w:hAnsi="Calibri" w:cs="Calibri"/>
        </w:rPr>
        <w:t>Conducted the third experiment after school; took about 30 minutes</w:t>
      </w:r>
    </w:p>
    <w:p w14:paraId="000001E6" w14:textId="77777777" w:rsidR="003D1844" w:rsidRDefault="00000000">
      <w:pPr>
        <w:numPr>
          <w:ilvl w:val="0"/>
          <w:numId w:val="2"/>
        </w:numPr>
        <w:rPr>
          <w:rFonts w:ascii="Calibri" w:eastAsia="Calibri" w:hAnsi="Calibri" w:cs="Calibri"/>
        </w:rPr>
      </w:pPr>
      <w:r>
        <w:rPr>
          <w:rFonts w:ascii="Calibri" w:eastAsia="Calibri" w:hAnsi="Calibri" w:cs="Calibri"/>
        </w:rPr>
        <w:t>Created sections for the research section.</w:t>
      </w:r>
    </w:p>
    <w:p w14:paraId="000001E7" w14:textId="77777777" w:rsidR="003D1844" w:rsidRDefault="00000000">
      <w:pPr>
        <w:numPr>
          <w:ilvl w:val="0"/>
          <w:numId w:val="2"/>
        </w:numPr>
        <w:rPr>
          <w:rFonts w:ascii="Calibri" w:eastAsia="Calibri" w:hAnsi="Calibri" w:cs="Calibri"/>
        </w:rPr>
      </w:pPr>
      <w:r>
        <w:rPr>
          <w:rFonts w:ascii="Calibri" w:eastAsia="Calibri" w:hAnsi="Calibri" w:cs="Calibri"/>
        </w:rPr>
        <w:t>Reorganized all research in google docs by labelling them by number (3.1, 3.2, etc).</w:t>
      </w:r>
    </w:p>
    <w:p w14:paraId="000001E8" w14:textId="77777777" w:rsidR="003D1844" w:rsidRDefault="00000000">
      <w:pPr>
        <w:numPr>
          <w:ilvl w:val="0"/>
          <w:numId w:val="2"/>
        </w:numPr>
        <w:rPr>
          <w:rFonts w:ascii="Calibri" w:eastAsia="Calibri" w:hAnsi="Calibri" w:cs="Calibri"/>
        </w:rPr>
      </w:pPr>
      <w:r>
        <w:rPr>
          <w:rFonts w:ascii="Calibri" w:eastAsia="Calibri" w:hAnsi="Calibri" w:cs="Calibri"/>
        </w:rPr>
        <w:lastRenderedPageBreak/>
        <w:t>Completed 3.1 of the research section.</w:t>
      </w:r>
    </w:p>
    <w:p w14:paraId="000001E9" w14:textId="77777777" w:rsidR="003D1844" w:rsidRDefault="003D1844">
      <w:pPr>
        <w:rPr>
          <w:rFonts w:ascii="Calibri" w:eastAsia="Calibri" w:hAnsi="Calibri" w:cs="Calibri"/>
        </w:rPr>
      </w:pPr>
    </w:p>
    <w:p w14:paraId="000001EA" w14:textId="77777777" w:rsidR="003D1844" w:rsidRDefault="00000000">
      <w:pPr>
        <w:rPr>
          <w:rFonts w:ascii="Calibri" w:eastAsia="Calibri" w:hAnsi="Calibri" w:cs="Calibri"/>
        </w:rPr>
      </w:pPr>
      <w:r>
        <w:rPr>
          <w:rFonts w:ascii="Karla" w:eastAsia="Karla" w:hAnsi="Karla" w:cs="Karla"/>
          <w:sz w:val="26"/>
          <w:szCs w:val="26"/>
        </w:rPr>
        <w:t>February 27, 2026</w:t>
      </w:r>
      <w:r>
        <w:rPr>
          <w:rFonts w:ascii="Calibri" w:eastAsia="Calibri" w:hAnsi="Calibri" w:cs="Calibri"/>
        </w:rPr>
        <w:t xml:space="preserve"> </w:t>
      </w:r>
    </w:p>
    <w:p w14:paraId="000001EB" w14:textId="77777777" w:rsidR="003D1844" w:rsidRDefault="00000000">
      <w:pPr>
        <w:numPr>
          <w:ilvl w:val="0"/>
          <w:numId w:val="2"/>
        </w:numPr>
        <w:rPr>
          <w:rFonts w:ascii="Calibri" w:eastAsia="Calibri" w:hAnsi="Calibri" w:cs="Calibri"/>
        </w:rPr>
      </w:pPr>
      <w:r>
        <w:rPr>
          <w:rFonts w:ascii="Calibri" w:eastAsia="Calibri" w:hAnsi="Calibri" w:cs="Calibri"/>
        </w:rPr>
        <w:t>Conducted fourth experiment midday; took about 40 minutes.</w:t>
      </w:r>
    </w:p>
    <w:p w14:paraId="000001EC" w14:textId="77777777" w:rsidR="003D1844" w:rsidRDefault="00000000">
      <w:pPr>
        <w:numPr>
          <w:ilvl w:val="0"/>
          <w:numId w:val="2"/>
        </w:numPr>
        <w:rPr>
          <w:rFonts w:ascii="Calibri" w:eastAsia="Calibri" w:hAnsi="Calibri" w:cs="Calibri"/>
        </w:rPr>
      </w:pPr>
      <w:r>
        <w:rPr>
          <w:rFonts w:ascii="Calibri" w:eastAsia="Calibri" w:hAnsi="Calibri" w:cs="Calibri"/>
        </w:rPr>
        <w:t>Asked questions to the science fair coordinator via the Remind app.</w:t>
      </w:r>
    </w:p>
    <w:p w14:paraId="000001ED" w14:textId="77777777" w:rsidR="003D1844" w:rsidRDefault="00000000">
      <w:pPr>
        <w:numPr>
          <w:ilvl w:val="0"/>
          <w:numId w:val="2"/>
        </w:numPr>
        <w:rPr>
          <w:rFonts w:ascii="Calibri" w:eastAsia="Calibri" w:hAnsi="Calibri" w:cs="Calibri"/>
        </w:rPr>
      </w:pPr>
      <w:r>
        <w:rPr>
          <w:rFonts w:ascii="Calibri" w:eastAsia="Calibri" w:hAnsi="Calibri" w:cs="Calibri"/>
        </w:rPr>
        <w:t>Completed 3.2 of the research section</w:t>
      </w:r>
    </w:p>
    <w:p w14:paraId="000001EE" w14:textId="77777777" w:rsidR="003D1844" w:rsidRDefault="003D1844">
      <w:pPr>
        <w:rPr>
          <w:rFonts w:ascii="Calibri" w:eastAsia="Calibri" w:hAnsi="Calibri" w:cs="Calibri"/>
        </w:rPr>
      </w:pPr>
    </w:p>
    <w:p w14:paraId="000001EF" w14:textId="77777777" w:rsidR="003D1844" w:rsidRDefault="00000000">
      <w:pPr>
        <w:rPr>
          <w:rFonts w:ascii="Calibri" w:eastAsia="Calibri" w:hAnsi="Calibri" w:cs="Calibri"/>
        </w:rPr>
      </w:pPr>
      <w:r>
        <w:rPr>
          <w:rFonts w:ascii="Karla" w:eastAsia="Karla" w:hAnsi="Karla" w:cs="Karla"/>
          <w:sz w:val="26"/>
          <w:szCs w:val="26"/>
        </w:rPr>
        <w:t>February 28, 2026</w:t>
      </w:r>
      <w:r>
        <w:rPr>
          <w:rFonts w:ascii="Calibri" w:eastAsia="Calibri" w:hAnsi="Calibri" w:cs="Calibri"/>
        </w:rPr>
        <w:t xml:space="preserve"> </w:t>
      </w:r>
    </w:p>
    <w:p w14:paraId="000001F0" w14:textId="77777777" w:rsidR="003D1844" w:rsidRDefault="00000000">
      <w:pPr>
        <w:numPr>
          <w:ilvl w:val="0"/>
          <w:numId w:val="2"/>
        </w:numPr>
        <w:rPr>
          <w:rFonts w:ascii="Calibri" w:eastAsia="Calibri" w:hAnsi="Calibri" w:cs="Calibri"/>
        </w:rPr>
      </w:pPr>
      <w:r>
        <w:rPr>
          <w:rFonts w:ascii="Calibri" w:eastAsia="Calibri" w:hAnsi="Calibri" w:cs="Calibri"/>
        </w:rPr>
        <w:t>Completed Data section and half of 3.3 of the research section.</w:t>
      </w:r>
    </w:p>
    <w:p w14:paraId="000001F1" w14:textId="77777777" w:rsidR="003D1844" w:rsidRDefault="003D1844">
      <w:pPr>
        <w:rPr>
          <w:rFonts w:ascii="Calibri" w:eastAsia="Calibri" w:hAnsi="Calibri" w:cs="Calibri"/>
        </w:rPr>
      </w:pPr>
    </w:p>
    <w:p w14:paraId="000001F2" w14:textId="77777777" w:rsidR="003D1844" w:rsidRDefault="00000000">
      <w:pPr>
        <w:rPr>
          <w:rFonts w:ascii="Calibri" w:eastAsia="Calibri" w:hAnsi="Calibri" w:cs="Calibri"/>
        </w:rPr>
      </w:pPr>
      <w:r>
        <w:rPr>
          <w:rFonts w:ascii="Karla" w:eastAsia="Karla" w:hAnsi="Karla" w:cs="Karla"/>
          <w:sz w:val="26"/>
          <w:szCs w:val="26"/>
        </w:rPr>
        <w:t>March 1, 2026</w:t>
      </w:r>
      <w:r>
        <w:rPr>
          <w:rFonts w:ascii="Calibri" w:eastAsia="Calibri" w:hAnsi="Calibri" w:cs="Calibri"/>
        </w:rPr>
        <w:t xml:space="preserve"> </w:t>
      </w:r>
    </w:p>
    <w:p w14:paraId="000001F3" w14:textId="77777777" w:rsidR="003D1844" w:rsidRDefault="00000000">
      <w:pPr>
        <w:numPr>
          <w:ilvl w:val="0"/>
          <w:numId w:val="2"/>
        </w:numPr>
        <w:rPr>
          <w:rFonts w:ascii="Calibri" w:eastAsia="Calibri" w:hAnsi="Calibri" w:cs="Calibri"/>
        </w:rPr>
      </w:pPr>
      <w:r>
        <w:rPr>
          <w:rFonts w:ascii="Calibri" w:eastAsia="Calibri" w:hAnsi="Calibri" w:cs="Calibri"/>
        </w:rPr>
        <w:t>Began and completed 3.4 of the research section.</w:t>
      </w:r>
    </w:p>
    <w:p w14:paraId="000001F4" w14:textId="77777777" w:rsidR="003D1844" w:rsidRDefault="003D1844">
      <w:pPr>
        <w:rPr>
          <w:rFonts w:ascii="Calibri" w:eastAsia="Calibri" w:hAnsi="Calibri" w:cs="Calibri"/>
        </w:rPr>
      </w:pPr>
    </w:p>
    <w:p w14:paraId="000001F5" w14:textId="77777777" w:rsidR="003D1844" w:rsidRDefault="00000000">
      <w:pPr>
        <w:rPr>
          <w:rFonts w:ascii="Calibri" w:eastAsia="Calibri" w:hAnsi="Calibri" w:cs="Calibri"/>
        </w:rPr>
      </w:pPr>
      <w:r>
        <w:rPr>
          <w:rFonts w:ascii="Karla" w:eastAsia="Karla" w:hAnsi="Karla" w:cs="Karla"/>
          <w:sz w:val="26"/>
          <w:szCs w:val="26"/>
        </w:rPr>
        <w:t>March 2, 2026</w:t>
      </w:r>
      <w:r>
        <w:rPr>
          <w:rFonts w:ascii="Calibri" w:eastAsia="Calibri" w:hAnsi="Calibri" w:cs="Calibri"/>
        </w:rPr>
        <w:t xml:space="preserve"> </w:t>
      </w:r>
    </w:p>
    <w:p w14:paraId="000001F6" w14:textId="77777777" w:rsidR="003D1844" w:rsidRDefault="00000000">
      <w:pPr>
        <w:numPr>
          <w:ilvl w:val="0"/>
          <w:numId w:val="2"/>
        </w:numPr>
        <w:rPr>
          <w:rFonts w:ascii="Calibri" w:eastAsia="Calibri" w:hAnsi="Calibri" w:cs="Calibri"/>
        </w:rPr>
      </w:pPr>
      <w:r>
        <w:rPr>
          <w:rFonts w:ascii="Calibri" w:eastAsia="Calibri" w:hAnsi="Calibri" w:cs="Calibri"/>
        </w:rPr>
        <w:t>Went to the science fair meeting at lunch.</w:t>
      </w:r>
    </w:p>
    <w:p w14:paraId="000001F7" w14:textId="77777777" w:rsidR="003D1844" w:rsidRDefault="00000000">
      <w:pPr>
        <w:numPr>
          <w:ilvl w:val="0"/>
          <w:numId w:val="2"/>
        </w:numPr>
        <w:rPr>
          <w:rFonts w:ascii="Calibri" w:eastAsia="Calibri" w:hAnsi="Calibri" w:cs="Calibri"/>
        </w:rPr>
      </w:pPr>
      <w:r>
        <w:rPr>
          <w:rFonts w:ascii="Calibri" w:eastAsia="Calibri" w:hAnsi="Calibri" w:cs="Calibri"/>
        </w:rPr>
        <w:t>Completed 3.5 of the research section and began 3.6</w:t>
      </w:r>
    </w:p>
    <w:p w14:paraId="000001F8" w14:textId="77777777" w:rsidR="003D1844" w:rsidRDefault="00000000">
      <w:pPr>
        <w:numPr>
          <w:ilvl w:val="0"/>
          <w:numId w:val="2"/>
        </w:numPr>
        <w:rPr>
          <w:rFonts w:ascii="Calibri" w:eastAsia="Calibri" w:hAnsi="Calibri" w:cs="Calibri"/>
        </w:rPr>
      </w:pPr>
      <w:r>
        <w:rPr>
          <w:rFonts w:ascii="Calibri" w:eastAsia="Calibri" w:hAnsi="Calibri" w:cs="Calibri"/>
        </w:rPr>
        <w:t xml:space="preserve">Wrote intro to conclusion section. </w:t>
      </w:r>
    </w:p>
    <w:p w14:paraId="000001F9" w14:textId="77777777" w:rsidR="003D1844" w:rsidRDefault="00000000">
      <w:pPr>
        <w:numPr>
          <w:ilvl w:val="0"/>
          <w:numId w:val="2"/>
        </w:numPr>
        <w:rPr>
          <w:rFonts w:ascii="Calibri" w:eastAsia="Calibri" w:hAnsi="Calibri" w:cs="Calibri"/>
        </w:rPr>
      </w:pPr>
      <w:r>
        <w:rPr>
          <w:rFonts w:ascii="Calibri" w:eastAsia="Calibri" w:hAnsi="Calibri" w:cs="Calibri"/>
        </w:rPr>
        <w:t xml:space="preserve">Declarations completed. </w:t>
      </w:r>
    </w:p>
    <w:p w14:paraId="000001FA" w14:textId="77777777" w:rsidR="003D1844" w:rsidRDefault="003D1844">
      <w:pPr>
        <w:rPr>
          <w:rFonts w:ascii="Calibri" w:eastAsia="Calibri" w:hAnsi="Calibri" w:cs="Calibri"/>
        </w:rPr>
      </w:pPr>
    </w:p>
    <w:p w14:paraId="000001FB" w14:textId="77777777" w:rsidR="003D1844" w:rsidRDefault="00000000">
      <w:pPr>
        <w:rPr>
          <w:rFonts w:ascii="Calibri" w:eastAsia="Calibri" w:hAnsi="Calibri" w:cs="Calibri"/>
        </w:rPr>
      </w:pPr>
      <w:r>
        <w:rPr>
          <w:rFonts w:ascii="Karla" w:eastAsia="Karla" w:hAnsi="Karla" w:cs="Karla"/>
          <w:sz w:val="26"/>
          <w:szCs w:val="26"/>
        </w:rPr>
        <w:t>March 3, 2026</w:t>
      </w:r>
      <w:r>
        <w:rPr>
          <w:rFonts w:ascii="Calibri" w:eastAsia="Calibri" w:hAnsi="Calibri" w:cs="Calibri"/>
        </w:rPr>
        <w:t xml:space="preserve"> </w:t>
      </w:r>
    </w:p>
    <w:p w14:paraId="000001FC" w14:textId="77777777" w:rsidR="003D1844" w:rsidRDefault="00000000">
      <w:pPr>
        <w:numPr>
          <w:ilvl w:val="0"/>
          <w:numId w:val="2"/>
        </w:numPr>
        <w:rPr>
          <w:rFonts w:ascii="Calibri" w:eastAsia="Calibri" w:hAnsi="Calibri" w:cs="Calibri"/>
        </w:rPr>
      </w:pPr>
      <w:r>
        <w:rPr>
          <w:rFonts w:ascii="Calibri" w:eastAsia="Calibri" w:hAnsi="Calibri" w:cs="Calibri"/>
        </w:rPr>
        <w:t xml:space="preserve">Completed citations. </w:t>
      </w:r>
    </w:p>
    <w:p w14:paraId="000001FD" w14:textId="77777777" w:rsidR="003D1844" w:rsidRDefault="00000000">
      <w:pPr>
        <w:numPr>
          <w:ilvl w:val="0"/>
          <w:numId w:val="2"/>
        </w:numPr>
        <w:rPr>
          <w:rFonts w:ascii="Calibri" w:eastAsia="Calibri" w:hAnsi="Calibri" w:cs="Calibri"/>
        </w:rPr>
      </w:pPr>
      <w:r>
        <w:rPr>
          <w:rFonts w:ascii="Calibri" w:eastAsia="Calibri" w:hAnsi="Calibri" w:cs="Calibri"/>
        </w:rPr>
        <w:t xml:space="preserve">Completed 3.6 of research. </w:t>
      </w:r>
    </w:p>
    <w:p w14:paraId="000001FE" w14:textId="77777777" w:rsidR="003D1844" w:rsidRDefault="003D1844">
      <w:pPr>
        <w:rPr>
          <w:rFonts w:ascii="Calibri" w:eastAsia="Calibri" w:hAnsi="Calibri" w:cs="Calibri"/>
        </w:rPr>
      </w:pPr>
    </w:p>
    <w:p w14:paraId="000001FF" w14:textId="77777777" w:rsidR="003D1844" w:rsidRDefault="00000000">
      <w:pPr>
        <w:rPr>
          <w:rFonts w:ascii="Calibri" w:eastAsia="Calibri" w:hAnsi="Calibri" w:cs="Calibri"/>
        </w:rPr>
      </w:pPr>
      <w:r>
        <w:rPr>
          <w:rFonts w:ascii="Karla" w:eastAsia="Karla" w:hAnsi="Karla" w:cs="Karla"/>
          <w:sz w:val="26"/>
          <w:szCs w:val="26"/>
        </w:rPr>
        <w:t>March 4, 2026</w:t>
      </w:r>
      <w:r>
        <w:rPr>
          <w:rFonts w:ascii="Calibri" w:eastAsia="Calibri" w:hAnsi="Calibri" w:cs="Calibri"/>
        </w:rPr>
        <w:t xml:space="preserve"> </w:t>
      </w:r>
    </w:p>
    <w:p w14:paraId="00000200" w14:textId="77777777" w:rsidR="003D1844" w:rsidRDefault="00000000">
      <w:pPr>
        <w:numPr>
          <w:ilvl w:val="0"/>
          <w:numId w:val="2"/>
        </w:numPr>
        <w:rPr>
          <w:rFonts w:ascii="Calibri" w:eastAsia="Calibri" w:hAnsi="Calibri" w:cs="Calibri"/>
        </w:rPr>
      </w:pPr>
      <w:r>
        <w:rPr>
          <w:rFonts w:ascii="Calibri" w:eastAsia="Calibri" w:hAnsi="Calibri" w:cs="Calibri"/>
        </w:rPr>
        <w:t>Completed conclusion section.</w:t>
      </w:r>
    </w:p>
    <w:p w14:paraId="00000201" w14:textId="77777777" w:rsidR="003D1844" w:rsidRDefault="00000000">
      <w:pPr>
        <w:numPr>
          <w:ilvl w:val="0"/>
          <w:numId w:val="2"/>
        </w:numPr>
        <w:rPr>
          <w:rFonts w:ascii="Calibri" w:eastAsia="Calibri" w:hAnsi="Calibri" w:cs="Calibri"/>
        </w:rPr>
      </w:pPr>
      <w:r>
        <w:rPr>
          <w:rFonts w:ascii="Calibri" w:eastAsia="Calibri" w:hAnsi="Calibri" w:cs="Calibri"/>
        </w:rPr>
        <w:t>Added images where appropriate.</w:t>
      </w:r>
    </w:p>
    <w:p w14:paraId="00000202" w14:textId="77777777" w:rsidR="003D1844" w:rsidRDefault="00000000">
      <w:pPr>
        <w:numPr>
          <w:ilvl w:val="0"/>
          <w:numId w:val="2"/>
        </w:numPr>
        <w:rPr>
          <w:rFonts w:ascii="Calibri" w:eastAsia="Calibri" w:hAnsi="Calibri" w:cs="Calibri"/>
        </w:rPr>
      </w:pPr>
      <w:r>
        <w:rPr>
          <w:rFonts w:ascii="Calibri" w:eastAsia="Calibri" w:hAnsi="Calibri" w:cs="Calibri"/>
        </w:rPr>
        <w:t xml:space="preserve">Completed logbook. </w:t>
      </w:r>
    </w:p>
    <w:p w14:paraId="00000203" w14:textId="77777777" w:rsidR="003D1844" w:rsidRDefault="003D1844">
      <w:pPr>
        <w:rPr>
          <w:rFonts w:ascii="Calibri" w:eastAsia="Calibri" w:hAnsi="Calibri" w:cs="Calibri"/>
        </w:rPr>
      </w:pPr>
    </w:p>
    <w:p w14:paraId="00000204" w14:textId="77777777" w:rsidR="003D1844" w:rsidRDefault="003D1844">
      <w:pPr>
        <w:rPr>
          <w:rFonts w:ascii="Calibri" w:eastAsia="Calibri" w:hAnsi="Calibri" w:cs="Calibri"/>
        </w:rPr>
      </w:pPr>
    </w:p>
    <w:p w14:paraId="00000205" w14:textId="77777777" w:rsidR="003D1844" w:rsidRDefault="003D1844">
      <w:pPr>
        <w:rPr>
          <w:rFonts w:ascii="Calibri" w:eastAsia="Calibri" w:hAnsi="Calibri" w:cs="Calibri"/>
        </w:rPr>
      </w:pPr>
    </w:p>
    <w:p w14:paraId="00000206" w14:textId="6A399311" w:rsidR="003D1844" w:rsidRDefault="00000000">
      <w:pPr>
        <w:rPr>
          <w:rFonts w:ascii="Calibri" w:eastAsia="Calibri" w:hAnsi="Calibri" w:cs="Calibri"/>
        </w:rPr>
      </w:pPr>
      <w:r>
        <w:rPr>
          <w:rFonts w:ascii="Calibri" w:eastAsia="Calibri" w:hAnsi="Calibri" w:cs="Calibri"/>
        </w:rPr>
        <w:t>Note: majority of the pasted research was only copied and pasted, not modified or paraphrased. However, on the CYSF online project, the research is modified</w:t>
      </w:r>
      <w:r w:rsidR="00F149E9">
        <w:rPr>
          <w:rFonts w:ascii="Calibri" w:eastAsia="Calibri" w:hAnsi="Calibri" w:cs="Calibri"/>
        </w:rPr>
        <w:t xml:space="preserve"> and sources used are all cited.</w:t>
      </w:r>
      <w:r>
        <w:rPr>
          <w:rFonts w:ascii="Calibri" w:eastAsia="Calibri" w:hAnsi="Calibri" w:cs="Calibri"/>
        </w:rPr>
        <w:t xml:space="preserve"> </w:t>
      </w:r>
    </w:p>
    <w:p w14:paraId="00000207" w14:textId="77777777" w:rsidR="003D1844" w:rsidRDefault="003D1844">
      <w:pPr>
        <w:rPr>
          <w:rFonts w:ascii="Calibri" w:eastAsia="Calibri" w:hAnsi="Calibri" w:cs="Calibri"/>
        </w:rPr>
      </w:pPr>
    </w:p>
    <w:p w14:paraId="00000208" w14:textId="77777777" w:rsidR="003D1844" w:rsidRDefault="003D1844">
      <w:pPr>
        <w:rPr>
          <w:rFonts w:ascii="Calibri" w:eastAsia="Calibri" w:hAnsi="Calibri" w:cs="Calibri"/>
        </w:rPr>
      </w:pPr>
    </w:p>
    <w:p w14:paraId="00000209" w14:textId="77777777" w:rsidR="003D1844" w:rsidRDefault="003D1844">
      <w:pPr>
        <w:rPr>
          <w:rFonts w:ascii="Calibri" w:eastAsia="Calibri" w:hAnsi="Calibri" w:cs="Calibri"/>
        </w:rPr>
      </w:pPr>
    </w:p>
    <w:p w14:paraId="0000020A" w14:textId="77777777" w:rsidR="003D1844" w:rsidRDefault="003D1844">
      <w:pPr>
        <w:rPr>
          <w:rFonts w:ascii="Calibri" w:eastAsia="Calibri" w:hAnsi="Calibri" w:cs="Calibri"/>
        </w:rPr>
      </w:pPr>
    </w:p>
    <w:p w14:paraId="0000020B" w14:textId="77777777" w:rsidR="003D1844" w:rsidRDefault="00000000">
      <w:pPr>
        <w:rPr>
          <w:rFonts w:ascii="Calibri" w:eastAsia="Calibri" w:hAnsi="Calibri" w:cs="Calibri"/>
          <w:i/>
          <w:iCs/>
        </w:rPr>
      </w:pPr>
      <w:r>
        <w:rPr>
          <w:rFonts w:ascii="Calibri" w:eastAsia="Calibri" w:hAnsi="Calibri" w:cs="Calibri"/>
          <w:i/>
          <w:iCs/>
        </w:rPr>
        <w:t xml:space="preserve">EXPLORE AND USE THESE (did not use some of these): </w:t>
      </w:r>
    </w:p>
    <w:p w14:paraId="0000020C" w14:textId="77777777" w:rsidR="003D1844" w:rsidRDefault="00000000">
      <w:pPr>
        <w:rPr>
          <w:rFonts w:ascii="Calibri" w:eastAsia="Calibri" w:hAnsi="Calibri" w:cs="Calibri"/>
          <w:i/>
          <w:iCs/>
        </w:rPr>
      </w:pPr>
      <w:hyperlink r:id="rId34">
        <w:r>
          <w:rPr>
            <w:rFonts w:ascii="Calibri" w:eastAsia="Calibri" w:hAnsi="Calibri" w:cs="Calibri"/>
            <w:i/>
            <w:iCs/>
            <w:color w:val="1155CC"/>
            <w:u w:val="single"/>
          </w:rPr>
          <w:t>https://us.humankinetics.com/blogs/excerpt/adaptive-and-maladaptive-behavior?srsltid=AfmBOoqhbllz22-p_WJFQ_nrYIepq3i_qWkgoW0sBW4-kYw_m_5etmMv</w:t>
        </w:r>
      </w:hyperlink>
      <w:r>
        <w:rPr>
          <w:rFonts w:ascii="Calibri" w:eastAsia="Calibri" w:hAnsi="Calibri" w:cs="Calibri"/>
          <w:i/>
          <w:iCs/>
        </w:rPr>
        <w:t xml:space="preserve"> </w:t>
      </w:r>
    </w:p>
    <w:p w14:paraId="0000020D" w14:textId="77777777" w:rsidR="003D1844" w:rsidRDefault="00000000">
      <w:pPr>
        <w:rPr>
          <w:rFonts w:ascii="Calibri" w:eastAsia="Calibri" w:hAnsi="Calibri" w:cs="Calibri"/>
          <w:i/>
          <w:iCs/>
        </w:rPr>
      </w:pPr>
      <w:hyperlink r:id="rId35">
        <w:r>
          <w:rPr>
            <w:rFonts w:ascii="Calibri" w:eastAsia="Calibri" w:hAnsi="Calibri" w:cs="Calibri"/>
            <w:i/>
            <w:iCs/>
            <w:color w:val="1155CC"/>
            <w:u w:val="single"/>
          </w:rPr>
          <w:t>https://www.tranceformpsychology.com/maladaptive-coping-mechanisms/</w:t>
        </w:r>
      </w:hyperlink>
      <w:r>
        <w:rPr>
          <w:rFonts w:ascii="Calibri" w:eastAsia="Calibri" w:hAnsi="Calibri" w:cs="Calibri"/>
          <w:i/>
          <w:iCs/>
        </w:rPr>
        <w:t xml:space="preserve"> </w:t>
      </w:r>
    </w:p>
    <w:p w14:paraId="0000020E" w14:textId="77777777" w:rsidR="003D1844" w:rsidRDefault="00000000">
      <w:pPr>
        <w:rPr>
          <w:rFonts w:ascii="Calibri" w:eastAsia="Calibri" w:hAnsi="Calibri" w:cs="Calibri"/>
          <w:i/>
          <w:iCs/>
        </w:rPr>
      </w:pPr>
      <w:hyperlink r:id="rId36" w:anchor=":~:text=Organ%20Systems%20Involved,atherosclerosis%20and%20compromising%20vascular%20function">
        <w:r>
          <w:rPr>
            <w:rFonts w:ascii="Calibri" w:eastAsia="Calibri" w:hAnsi="Calibri" w:cs="Calibri"/>
            <w:i/>
            <w:iCs/>
            <w:color w:val="1155CC"/>
            <w:u w:val="single"/>
          </w:rPr>
          <w:t>https://www.ncbi.nlm.nih.gov/books/NBK541120/#:~:text=Organ%20Systems%20Involved,atherosclerosis%20and%20compromising%20vascular%20function</w:t>
        </w:r>
      </w:hyperlink>
    </w:p>
    <w:p w14:paraId="0000020F" w14:textId="77777777" w:rsidR="003D1844" w:rsidRDefault="00000000">
      <w:pPr>
        <w:rPr>
          <w:rFonts w:ascii="Calibri" w:eastAsia="Calibri" w:hAnsi="Calibri" w:cs="Calibri"/>
          <w:i/>
          <w:iCs/>
        </w:rPr>
      </w:pPr>
      <w:hyperlink r:id="rId37">
        <w:r>
          <w:rPr>
            <w:rFonts w:ascii="Calibri" w:eastAsia="Calibri" w:hAnsi="Calibri" w:cs="Calibri"/>
            <w:i/>
            <w:iCs/>
            <w:color w:val="1155CC"/>
            <w:u w:val="single"/>
          </w:rPr>
          <w:t>https://www.ncbi.nlm.nih.gov/books/NBK541120/</w:t>
        </w:r>
      </w:hyperlink>
      <w:r>
        <w:rPr>
          <w:rFonts w:ascii="Calibri" w:eastAsia="Calibri" w:hAnsi="Calibri" w:cs="Calibri"/>
          <w:i/>
          <w:iCs/>
        </w:rPr>
        <w:t xml:space="preserve"> </w:t>
      </w:r>
    </w:p>
    <w:p w14:paraId="00000210" w14:textId="77777777" w:rsidR="003D1844" w:rsidRDefault="00000000">
      <w:pPr>
        <w:rPr>
          <w:rFonts w:ascii="Calibri" w:eastAsia="Calibri" w:hAnsi="Calibri" w:cs="Calibri"/>
          <w:i/>
          <w:iCs/>
        </w:rPr>
      </w:pPr>
      <w:hyperlink r:id="rId38" w:anchor=":~:text=Organ%20Systems%20Involved,atherosclerosis%20and%20compromising%20vascular%20function">
        <w:r>
          <w:rPr>
            <w:rFonts w:ascii="Calibri" w:eastAsia="Calibri" w:hAnsi="Calibri" w:cs="Calibri"/>
            <w:i/>
            <w:iCs/>
            <w:color w:val="1155CC"/>
            <w:u w:val="single"/>
          </w:rPr>
          <w:t>https://www.ncbi.nlm.nih.gov/books/NBK541120/#:~:text=Organ%20Systems%20Involved,atherosclerosis%20and%20compromising%20vascular%20function</w:t>
        </w:r>
      </w:hyperlink>
      <w:r>
        <w:rPr>
          <w:rFonts w:ascii="Calibri" w:eastAsia="Calibri" w:hAnsi="Calibri" w:cs="Calibri"/>
          <w:i/>
          <w:iCs/>
        </w:rPr>
        <w:t xml:space="preserve">. </w:t>
      </w:r>
    </w:p>
    <w:p w14:paraId="00000211" w14:textId="77777777" w:rsidR="003D1844" w:rsidRDefault="00000000">
      <w:pPr>
        <w:rPr>
          <w:rFonts w:ascii="Calibri" w:eastAsia="Calibri" w:hAnsi="Calibri" w:cs="Calibri"/>
          <w:i/>
          <w:iCs/>
        </w:rPr>
      </w:pPr>
      <w:hyperlink r:id="rId39">
        <w:r>
          <w:rPr>
            <w:rFonts w:ascii="Calibri" w:eastAsia="Calibri" w:hAnsi="Calibri" w:cs="Calibri"/>
            <w:i/>
            <w:iCs/>
            <w:color w:val="1155CC"/>
            <w:u w:val="single"/>
          </w:rPr>
          <w:t>http://www.health.harvard.edu/staying-healthy/understanding-the-stress-response</w:t>
        </w:r>
      </w:hyperlink>
      <w:r>
        <w:rPr>
          <w:rFonts w:ascii="Calibri" w:eastAsia="Calibri" w:hAnsi="Calibri" w:cs="Calibri"/>
          <w:i/>
          <w:iCs/>
        </w:rPr>
        <w:t xml:space="preserve"> </w:t>
      </w:r>
    </w:p>
    <w:p w14:paraId="00000212" w14:textId="77777777" w:rsidR="003D1844" w:rsidRDefault="00000000">
      <w:pPr>
        <w:rPr>
          <w:rFonts w:ascii="Calibri" w:eastAsia="Calibri" w:hAnsi="Calibri" w:cs="Calibri"/>
          <w:i/>
          <w:iCs/>
        </w:rPr>
      </w:pPr>
      <w:hyperlink r:id="rId40">
        <w:r>
          <w:rPr>
            <w:rFonts w:ascii="Calibri" w:eastAsia="Calibri" w:hAnsi="Calibri" w:cs="Calibri"/>
            <w:i/>
            <w:iCs/>
            <w:color w:val="1155CC"/>
            <w:u w:val="single"/>
          </w:rPr>
          <w:t>https://pmc.ncbi.nlm.nih.gov/articles/PMC9350533/</w:t>
        </w:r>
      </w:hyperlink>
      <w:r>
        <w:rPr>
          <w:rFonts w:ascii="Calibri" w:eastAsia="Calibri" w:hAnsi="Calibri" w:cs="Calibri"/>
          <w:i/>
          <w:iCs/>
        </w:rPr>
        <w:t xml:space="preserve"> </w:t>
      </w:r>
    </w:p>
    <w:p w14:paraId="00000213" w14:textId="77777777" w:rsidR="003D1844" w:rsidRDefault="00000000">
      <w:pPr>
        <w:rPr>
          <w:rFonts w:ascii="Calibri" w:eastAsia="Calibri" w:hAnsi="Calibri" w:cs="Calibri"/>
          <w:i/>
          <w:iCs/>
        </w:rPr>
      </w:pPr>
      <w:hyperlink r:id="rId41">
        <w:r>
          <w:rPr>
            <w:rFonts w:ascii="Calibri" w:eastAsia="Calibri" w:hAnsi="Calibri" w:cs="Calibri"/>
            <w:i/>
            <w:iCs/>
            <w:color w:val="1155CC"/>
            <w:u w:val="single"/>
          </w:rPr>
          <w:t>https://www.health.harvard.edu/newsletter_article/the-power-of-the-placebo-effect</w:t>
        </w:r>
      </w:hyperlink>
      <w:r>
        <w:rPr>
          <w:rFonts w:ascii="Calibri" w:eastAsia="Calibri" w:hAnsi="Calibri" w:cs="Calibri"/>
          <w:i/>
          <w:iCs/>
        </w:rPr>
        <w:t xml:space="preserve"> </w:t>
      </w:r>
    </w:p>
    <w:p w14:paraId="00000214" w14:textId="77777777" w:rsidR="003D1844" w:rsidRDefault="003D1844">
      <w:pPr>
        <w:rPr>
          <w:rFonts w:ascii="Calibri" w:eastAsia="Calibri" w:hAnsi="Calibri" w:cs="Calibri"/>
        </w:rPr>
      </w:pPr>
    </w:p>
    <w:p w14:paraId="00000215" w14:textId="77777777" w:rsidR="003D1844" w:rsidRDefault="003D1844">
      <w:pPr>
        <w:rPr>
          <w:rFonts w:ascii="Calibri" w:eastAsia="Calibri" w:hAnsi="Calibri" w:cs="Calibri"/>
        </w:rPr>
      </w:pPr>
    </w:p>
    <w:p w14:paraId="00000216" w14:textId="77777777" w:rsidR="003D1844" w:rsidRDefault="003D1844">
      <w:pPr>
        <w:rPr>
          <w:rFonts w:ascii="Calibri" w:eastAsia="Calibri" w:hAnsi="Calibri" w:cs="Calibri"/>
        </w:rPr>
      </w:pPr>
    </w:p>
    <w:p w14:paraId="00000217" w14:textId="77777777" w:rsidR="003D1844" w:rsidRDefault="003D1844">
      <w:pPr>
        <w:rPr>
          <w:rFonts w:ascii="Calibri" w:eastAsia="Calibri" w:hAnsi="Calibri" w:cs="Calibri"/>
        </w:rPr>
      </w:pPr>
    </w:p>
    <w:p w14:paraId="00000218" w14:textId="77777777" w:rsidR="003D1844" w:rsidRDefault="003D1844">
      <w:pPr>
        <w:rPr>
          <w:rFonts w:ascii="Calibri" w:eastAsia="Calibri" w:hAnsi="Calibri" w:cs="Calibri"/>
        </w:rPr>
      </w:pPr>
    </w:p>
    <w:p w14:paraId="00000219" w14:textId="77777777" w:rsidR="003D1844" w:rsidRDefault="003D1844">
      <w:pPr>
        <w:rPr>
          <w:rFonts w:ascii="Calibri" w:eastAsia="Calibri" w:hAnsi="Calibri" w:cs="Calibri"/>
        </w:rPr>
      </w:pPr>
    </w:p>
    <w:sectPr w:rsidR="003D1844">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8FC98" w14:textId="77777777" w:rsidR="00D168DC" w:rsidRDefault="00D168DC" w:rsidP="00F149E9">
      <w:pPr>
        <w:spacing w:line="240" w:lineRule="auto"/>
      </w:pPr>
      <w:r>
        <w:separator/>
      </w:r>
    </w:p>
  </w:endnote>
  <w:endnote w:type="continuationSeparator" w:id="0">
    <w:p w14:paraId="7954026E" w14:textId="77777777" w:rsidR="00D168DC" w:rsidRDefault="00D168DC" w:rsidP="00F14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DAF868-ECCA-1B4E-BE6C-89927EB950D2}"/>
  </w:font>
  <w:font w:name="Arial">
    <w:panose1 w:val="020B0604020202020204"/>
    <w:charset w:val="00"/>
    <w:family w:val="swiss"/>
    <w:pitch w:val="variable"/>
    <w:sig w:usb0="E0002AFF" w:usb1="C0007843" w:usb2="00000009" w:usb3="00000000" w:csb0="000001FF" w:csb1="00000000"/>
    <w:embedRegular r:id="rId2" w:fontKey="{29F7FC1B-485D-3F4F-A45A-2CCB6617B991}"/>
    <w:embedItalic r:id="rId3" w:fontKey="{13C5AD8E-F012-EC42-817F-98D859914600}"/>
  </w:font>
  <w:font w:name="Karla">
    <w:panose1 w:val="00000000000000000000"/>
    <w:charset w:val="4D"/>
    <w:family w:val="auto"/>
    <w:pitch w:val="variable"/>
    <w:sig w:usb0="A00000EF" w:usb1="4000205B" w:usb2="00000000" w:usb3="00000000" w:csb0="00000093" w:csb1="00000000"/>
    <w:embedRegular r:id="rId4" w:fontKey="{74B0AEC3-4737-994F-B9CB-431E4282D211}"/>
  </w:font>
  <w:font w:name="Calibri">
    <w:panose1 w:val="020F0502020204030204"/>
    <w:charset w:val="00"/>
    <w:family w:val="swiss"/>
    <w:pitch w:val="variable"/>
    <w:sig w:usb0="E0002AFF" w:usb1="C000247B" w:usb2="00000009" w:usb3="00000000" w:csb0="000001FF" w:csb1="00000000"/>
    <w:embedRegular r:id="rId5" w:fontKey="{59DAD36E-EC93-B540-B6E1-1A9E33F323FB}"/>
    <w:embedItalic r:id="rId6" w:fontKey="{E64FBC58-C417-4C47-9210-13ECF5F86056}"/>
    <w:embedBoldItalic r:id="rId7" w:fontKey="{98DFCF20-558F-9343-A024-8A06DC85D510}"/>
  </w:font>
  <w:font w:name="Cambria">
    <w:panose1 w:val="02040503050406030204"/>
    <w:charset w:val="00"/>
    <w:family w:val="roman"/>
    <w:notTrueType/>
    <w:pitch w:val="default"/>
    <w:embedRegular r:id="rId8" w:fontKey="{967109DF-DC47-EA44-9220-083023479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DFB5" w14:textId="77777777" w:rsidR="00F149E9" w:rsidRDefault="00F14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F962" w14:textId="77777777" w:rsidR="00F149E9" w:rsidRDefault="00F14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9045" w14:textId="77777777" w:rsidR="00F149E9" w:rsidRDefault="00F14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7B733" w14:textId="77777777" w:rsidR="00D168DC" w:rsidRDefault="00D168DC" w:rsidP="00F149E9">
      <w:pPr>
        <w:spacing w:line="240" w:lineRule="auto"/>
      </w:pPr>
      <w:r>
        <w:separator/>
      </w:r>
    </w:p>
  </w:footnote>
  <w:footnote w:type="continuationSeparator" w:id="0">
    <w:p w14:paraId="6FADA443" w14:textId="77777777" w:rsidR="00D168DC" w:rsidRDefault="00D168DC" w:rsidP="00F14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29D5" w14:textId="77777777" w:rsidR="00F149E9" w:rsidRDefault="00F14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575E" w14:textId="77777777" w:rsidR="00F149E9" w:rsidRDefault="00F149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CC9D" w14:textId="77777777" w:rsidR="00F149E9" w:rsidRDefault="00F14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CDF"/>
    <w:multiLevelType w:val="multilevel"/>
    <w:tmpl w:val="B5423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53505"/>
    <w:multiLevelType w:val="multilevel"/>
    <w:tmpl w:val="8C283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6256B6"/>
    <w:multiLevelType w:val="multilevel"/>
    <w:tmpl w:val="8440F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A459D3"/>
    <w:multiLevelType w:val="multilevel"/>
    <w:tmpl w:val="6C22F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361F3"/>
    <w:multiLevelType w:val="multilevel"/>
    <w:tmpl w:val="C4685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14335B"/>
    <w:multiLevelType w:val="multilevel"/>
    <w:tmpl w:val="C374B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B034BB"/>
    <w:multiLevelType w:val="multilevel"/>
    <w:tmpl w:val="3866F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5C488B"/>
    <w:multiLevelType w:val="multilevel"/>
    <w:tmpl w:val="756C2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5C3662"/>
    <w:multiLevelType w:val="multilevel"/>
    <w:tmpl w:val="1488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6420380">
    <w:abstractNumId w:val="6"/>
  </w:num>
  <w:num w:numId="2" w16cid:durableId="1930890195">
    <w:abstractNumId w:val="8"/>
  </w:num>
  <w:num w:numId="3" w16cid:durableId="348066353">
    <w:abstractNumId w:val="2"/>
  </w:num>
  <w:num w:numId="4" w16cid:durableId="1883129334">
    <w:abstractNumId w:val="1"/>
  </w:num>
  <w:num w:numId="5" w16cid:durableId="545987293">
    <w:abstractNumId w:val="5"/>
  </w:num>
  <w:num w:numId="6" w16cid:durableId="830871408">
    <w:abstractNumId w:val="3"/>
  </w:num>
  <w:num w:numId="7" w16cid:durableId="85924536">
    <w:abstractNumId w:val="0"/>
  </w:num>
  <w:num w:numId="8" w16cid:durableId="899440273">
    <w:abstractNumId w:val="4"/>
  </w:num>
  <w:num w:numId="9" w16cid:durableId="10350812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44"/>
    <w:rsid w:val="003D1844"/>
    <w:rsid w:val="00D168DC"/>
    <w:rsid w:val="00EB63D1"/>
    <w:rsid w:val="00F149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87AF3"/>
  <w15:docId w15:val="{E8A76869-0C39-0F47-BA5B-0213C5DD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149E9"/>
    <w:pPr>
      <w:tabs>
        <w:tab w:val="center" w:pos="4680"/>
        <w:tab w:val="right" w:pos="9360"/>
      </w:tabs>
      <w:spacing w:line="240" w:lineRule="auto"/>
    </w:pPr>
  </w:style>
  <w:style w:type="character" w:customStyle="1" w:styleId="HeaderChar">
    <w:name w:val="Header Char"/>
    <w:basedOn w:val="DefaultParagraphFont"/>
    <w:link w:val="Header"/>
    <w:uiPriority w:val="99"/>
    <w:rsid w:val="00F149E9"/>
  </w:style>
  <w:style w:type="paragraph" w:styleId="Footer">
    <w:name w:val="footer"/>
    <w:basedOn w:val="Normal"/>
    <w:link w:val="FooterChar"/>
    <w:uiPriority w:val="99"/>
    <w:unhideWhenUsed/>
    <w:rsid w:val="00F149E9"/>
    <w:pPr>
      <w:tabs>
        <w:tab w:val="center" w:pos="4680"/>
        <w:tab w:val="right" w:pos="9360"/>
      </w:tabs>
      <w:spacing w:line="240" w:lineRule="auto"/>
    </w:pPr>
  </w:style>
  <w:style w:type="character" w:customStyle="1" w:styleId="FooterChar">
    <w:name w:val="Footer Char"/>
    <w:basedOn w:val="DefaultParagraphFont"/>
    <w:link w:val="Footer"/>
    <w:uiPriority w:val="99"/>
    <w:rsid w:val="00F14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VgYmIsYmUIU" TargetMode="External"/><Relationship Id="rId18" Type="http://schemas.openxmlformats.org/officeDocument/2006/relationships/hyperlink" Target="https://my.clevelandclinic.org/health/articles/22572-serotonin" TargetMode="External"/><Relationship Id="rId26" Type="http://schemas.openxmlformats.org/officeDocument/2006/relationships/hyperlink" Target="https://pmc.ncbi.nlm.nih.gov/articles/PMC8329028/" TargetMode="External"/><Relationship Id="rId39" Type="http://schemas.openxmlformats.org/officeDocument/2006/relationships/hyperlink" Target="http://www.health.harvard.edu/staying-healthy/understanding-the-stress-response" TargetMode="External"/><Relationship Id="rId21" Type="http://schemas.openxmlformats.org/officeDocument/2006/relationships/hyperlink" Target="https://www.sciencedirect.com/science/article/abs/pii/S0165032715306960" TargetMode="External"/><Relationship Id="rId34" Type="http://schemas.openxmlformats.org/officeDocument/2006/relationships/hyperlink" Target="https://us.humankinetics.com/blogs/excerpt/adaptive-and-maladaptive-behavior?srsltid=AfmBOoqhbllz22-p_WJFQ_nrYIepq3i_qWkgoW0sBW4-kYw_m_5etmMv"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www.ncbi.nlm.nih.gov/books/NBK615373/" TargetMode="External"/><Relationship Id="rId2" Type="http://schemas.openxmlformats.org/officeDocument/2006/relationships/styles" Target="styles.xml"/><Relationship Id="rId16" Type="http://schemas.openxmlformats.org/officeDocument/2006/relationships/hyperlink" Target="https://www.albertafamilywellness.org/what-we-know/stress/" TargetMode="External"/><Relationship Id="rId29" Type="http://schemas.openxmlformats.org/officeDocument/2006/relationships/hyperlink" Target="https://pmc.ncbi.nlm.nih.gov/articles/PMC4442090/" TargetMode="External"/><Relationship Id="rId11" Type="http://schemas.openxmlformats.org/officeDocument/2006/relationships/hyperlink" Target="https://www.sciencedirect.com/topics/psychology/adaptive-coping" TargetMode="External"/><Relationship Id="rId24" Type="http://schemas.openxmlformats.org/officeDocument/2006/relationships/hyperlink" Target="https://my.clevelandclinic.org/health/body/23262-sympathetic-nervous-system-sns-fight-or-flight" TargetMode="External"/><Relationship Id="rId32" Type="http://schemas.openxmlformats.org/officeDocument/2006/relationships/hyperlink" Target="https://angeladuckworth.com/qa/" TargetMode="External"/><Relationship Id="rId37" Type="http://schemas.openxmlformats.org/officeDocument/2006/relationships/hyperlink" Target="https://www.ncbi.nlm.nih.gov/books/NBK541120/" TargetMode="External"/><Relationship Id="rId40" Type="http://schemas.openxmlformats.org/officeDocument/2006/relationships/hyperlink" Target="https://pmc.ncbi.nlm.nih.gov/articles/PMC9350533/"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cbi.nlm.nih.gov/books/NBK541120/" TargetMode="External"/><Relationship Id="rId23" Type="http://schemas.openxmlformats.org/officeDocument/2006/relationships/hyperlink" Target="https://www.ncbi.nlm.nih.gov/books/NBK539845/" TargetMode="External"/><Relationship Id="rId28" Type="http://schemas.openxmlformats.org/officeDocument/2006/relationships/hyperlink" Target="https://pmc.ncbi.nlm.nih.gov/articles/PMC4573351/" TargetMode="External"/><Relationship Id="rId36" Type="http://schemas.openxmlformats.org/officeDocument/2006/relationships/hyperlink" Target="https://www.ncbi.nlm.nih.gov/books/NBK541120/" TargetMode="External"/><Relationship Id="rId49" Type="http://schemas.openxmlformats.org/officeDocument/2006/relationships/theme" Target="theme/theme1.xml"/><Relationship Id="rId10" Type="http://schemas.openxmlformats.org/officeDocument/2006/relationships/hyperlink" Target="https://mindviewpsychology.com.au/adaptive-vs-maladaptive-understanding-how-we-cope-with-stress/" TargetMode="External"/><Relationship Id="rId19" Type="http://schemas.openxmlformats.org/officeDocument/2006/relationships/hyperlink" Target="https://www.health.harvard.edu/mind-and-mood/serotonin-the-natural-mood-booster" TargetMode="External"/><Relationship Id="rId31" Type="http://schemas.openxmlformats.org/officeDocument/2006/relationships/hyperlink" Target="https://ieepj.hormozgan.ac.ir/article-1-384-en.pdf"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mc.ncbi.nlm.nih.gov/articles/PMC12010593/" TargetMode="External"/><Relationship Id="rId14" Type="http://schemas.openxmlformats.org/officeDocument/2006/relationships/hyperlink" Target="http://www.health.harvard.edu/staying-healthy/understanding-the-stress-response" TargetMode="External"/><Relationship Id="rId22" Type="http://schemas.openxmlformats.org/officeDocument/2006/relationships/hyperlink" Target="https://my.clevelandclinic.org/health/body/21202-nervous-system" TargetMode="External"/><Relationship Id="rId27" Type="http://schemas.openxmlformats.org/officeDocument/2006/relationships/hyperlink" Target="https://news.stanford.edu/stories/2021/09/mindsets-clearing-lens-life" TargetMode="External"/><Relationship Id="rId30" Type="http://schemas.openxmlformats.org/officeDocument/2006/relationships/hyperlink" Target="https://pmc.ncbi.nlm.nih.gov/articles/PMC2872051/" TargetMode="External"/><Relationship Id="rId35" Type="http://schemas.openxmlformats.org/officeDocument/2006/relationships/hyperlink" Target="https://www.tranceformpsychology.com/maladaptive-coping-mechanism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mindviewpsychology.com.au/adaptive-vs-maladaptive-understanding-how-we-cope-with-stress/" TargetMode="External"/><Relationship Id="rId3" Type="http://schemas.openxmlformats.org/officeDocument/2006/relationships/settings" Target="settings.xml"/><Relationship Id="rId12" Type="http://schemas.openxmlformats.org/officeDocument/2006/relationships/hyperlink" Target="https://www.youtube.com/shorts/TxzvUNRvpAQ" TargetMode="External"/><Relationship Id="rId17" Type="http://schemas.openxmlformats.org/officeDocument/2006/relationships/hyperlink" Target="https://www.bodylogicmd.com/blog/what-are-stress-hormones/" TargetMode="External"/><Relationship Id="rId25" Type="http://schemas.openxmlformats.org/officeDocument/2006/relationships/hyperlink" Target="https://bpspsychub.onlinelibrary.wiley.com/doi/full/10.1111/bjep.12696" TargetMode="External"/><Relationship Id="rId33" Type="http://schemas.openxmlformats.org/officeDocument/2006/relationships/hyperlink" Target="https://www.who.int/news-room/questions-and-answers/item/stress" TargetMode="External"/><Relationship Id="rId38" Type="http://schemas.openxmlformats.org/officeDocument/2006/relationships/hyperlink" Target="https://www.ncbi.nlm.nih.gov/books/NBK541120/" TargetMode="External"/><Relationship Id="rId46" Type="http://schemas.openxmlformats.org/officeDocument/2006/relationships/header" Target="header3.xml"/><Relationship Id="rId20" Type="http://schemas.openxmlformats.org/officeDocument/2006/relationships/hyperlink" Target="https://www.sciencedirect.com/science/article/abs/pii/S0165032715306960" TargetMode="External"/><Relationship Id="rId41" Type="http://schemas.openxmlformats.org/officeDocument/2006/relationships/hyperlink" Target="https://www.health.harvard.edu/newsletter_article/the-power-of-the-placebo-effect"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11994</Words>
  <Characters>68369</Characters>
  <Application>Microsoft Office Word</Application>
  <DocSecurity>0</DocSecurity>
  <Lines>569</Lines>
  <Paragraphs>160</Paragraphs>
  <ScaleCrop>false</ScaleCrop>
  <Company/>
  <LinksUpToDate>false</LinksUpToDate>
  <CharactersWithSpaces>80203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Kanza Khan</cp:lastModifiedBy>
  <cp:revision>2</cp:revision>
  <dcterms:created xsi:type="dcterms:W3CDTF">2026-03-05T00:49:00Z</dcterms:created>
  <dcterms:modified xsi:type="dcterms:W3CDTF">2026-03-05T00:49:00Z</dcterms:modified>
</cp:coreProperties>
</file>