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0" w:line="288" w:lineRule="auto"/>
        <w:jc w:val="center"/>
        <w:rPr>
          <w:rFonts w:ascii="Roboto" w:cs="Roboto" w:eastAsia="Roboto" w:hAnsi="Roboto"/>
          <w:b w:val="1"/>
          <w:sz w:val="48"/>
          <w:szCs w:val="48"/>
          <w:u w:val="single"/>
        </w:rPr>
      </w:pPr>
      <w:bookmarkStart w:colFirst="0" w:colLast="0" w:name="_y152uc5lksgt" w:id="0"/>
      <w:bookmarkEnd w:id="0"/>
      <w:r w:rsidDel="00000000" w:rsidR="00000000" w:rsidRPr="00000000">
        <w:rPr>
          <w:rFonts w:ascii="Roboto" w:cs="Roboto" w:eastAsia="Roboto" w:hAnsi="Roboto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48"/>
          <w:szCs w:val="48"/>
          <w:u w:val="single"/>
          <w:rtl w:val="0"/>
        </w:rPr>
        <w:t xml:space="preserve">Logbook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Calgary Youth Science Fair 2021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(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Virtual Fair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Calendrier d’exécution des projets</w:t>
      </w:r>
      <w:r w:rsidDel="00000000" w:rsidR="00000000" w:rsidRPr="00000000">
        <w:rPr>
          <w:sz w:val="32"/>
          <w:szCs w:val="32"/>
          <w:rtl w:val="0"/>
        </w:rPr>
        <w:t xml:space="preserve"> (Timeline)</w:t>
      </w:r>
    </w:p>
    <w:tbl>
      <w:tblPr>
        <w:tblStyle w:val="Table1"/>
        <w:tblW w:w="11180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0"/>
        <w:gridCol w:w="7560"/>
        <w:tblGridChange w:id="0">
          <w:tblGrid>
            <w:gridCol w:w="3620"/>
            <w:gridCol w:w="756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Délai d’exécution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Deadline of completion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Tâche à exécuter par l’élève ou le groupe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highlight w:val="yellow"/>
                <w:rtl w:val="0"/>
              </w:rPr>
              <w:t xml:space="preserve">Task to be completed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10 Février (February 10)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Problème, Objectif, Hypothèse, Procédure, variables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Le 16 Février (February 16)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Rassembler les matériaux pour l’expérience et préparer un questionnaire s’il y a un sondage à faire. 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Gather the materials for the experiment and prepare a questionnaire if there is a survey to be done.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Le 20 Février (February 20)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Réalisation de l’expérience (Essai 1) et collecte des observations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Carrying out the experiment (Trial 1) and collecting 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Le 27 Février (February 27)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Réalisation de l’expérience (Essai 2) et collecte des observations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Carrying out the experiment (Trial 2) and collecting 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9.921875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Le 6 Mars (March 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Réalisation de l’expérience (Essai 3/Trial 3) et collecte des observations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Carrying out the experiment (Trial 3) and collecting 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8-12 Mars (March 8-12)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Interprétation des résultats, Conclusions, Recommandations, etc.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Interpretation of results, Conclusions, Recommendations,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13-17 Mars (March 13-17)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Relecture du projet, enregistrement de la vidéo de présentation, etc.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Proofreading of the project, Recording of the presentation video,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Le 18 Mars (March 18)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Envoi électronique du projet à Calgary Youth Science Fair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Electronic submission of project to Calgary Youth Science Fair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Probleme</w:t>
      </w:r>
    </w:p>
    <w:p w:rsidR="00000000" w:rsidDel="00000000" w:rsidP="00000000" w:rsidRDefault="00000000" w:rsidRPr="00000000" w14:paraId="0000001E">
      <w:pPr>
        <w:spacing w:after="160" w:line="259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Notre problème est que beaucoup de personnes mangent trop de choses qui sont très acides et les choses acides n'est pas bon pour l’estomac et les dents.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before="0" w:line="288" w:lineRule="auto"/>
        <w:jc w:val="center"/>
        <w:rPr>
          <w:rFonts w:ascii="Roboto" w:cs="Roboto" w:eastAsia="Roboto" w:hAnsi="Roboto"/>
          <w:sz w:val="34"/>
          <w:szCs w:val="34"/>
          <w:u w:val="single"/>
        </w:rPr>
      </w:pPr>
      <w:bookmarkStart w:colFirst="0" w:colLast="0" w:name="_x4mnxcw1ee7y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u w:val="single"/>
          <w:rtl w:val="0"/>
        </w:rPr>
        <w:t xml:space="preserve">Hypothesis</w:t>
      </w:r>
      <w:r w:rsidDel="00000000" w:rsidR="00000000" w:rsidRPr="00000000">
        <w:rPr>
          <w:rFonts w:ascii="Roboto" w:cs="Roboto" w:eastAsia="Roboto" w:hAnsi="Roboto"/>
          <w:sz w:val="34"/>
          <w:szCs w:val="3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before="0" w:line="288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1snr76mba9rt" w:id="2"/>
      <w:bookmarkEnd w:id="2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Nous pensons que l’orange est plus acide que  la banane, pomme, le melon d’eau, le raisin, la fraise et la pêche parce qu'elle a un goût acide.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Objectif</w:t>
      </w:r>
    </w:p>
    <w:p w:rsidR="00000000" w:rsidDel="00000000" w:rsidP="00000000" w:rsidRDefault="00000000" w:rsidRPr="00000000" w14:paraId="0000002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Notre objectif est d' informer les gens qu'elle fruits est le plus acides entre orange, fraise, melon d’eau, banane, pomme, et la pêche. </w:t>
      </w:r>
    </w:p>
    <w:p w:rsidR="00000000" w:rsidDel="00000000" w:rsidP="00000000" w:rsidRDefault="00000000" w:rsidRPr="00000000" w14:paraId="00000026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Assembler les matériels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Découper chaque fruit en petites tranches et presser chaque fruit dans un presse-agrumes et </w:t>
      </w:r>
      <w:r w:rsidDel="00000000" w:rsidR="00000000" w:rsidRPr="00000000">
        <w:rPr>
          <w:sz w:val="34"/>
          <w:szCs w:val="34"/>
          <w:rtl w:val="0"/>
        </w:rPr>
        <w:t xml:space="preserve">met la</w:t>
      </w:r>
      <w:r w:rsidDel="00000000" w:rsidR="00000000" w:rsidRPr="00000000">
        <w:rPr>
          <w:sz w:val="34"/>
          <w:szCs w:val="34"/>
          <w:rtl w:val="0"/>
        </w:rPr>
        <w:t xml:space="preserve"> jus dans les petits contenants.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Utilise le papier de pH pour déterminer l'acidité de chaque jus de fruits.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Après environ 3 ou moins secondes, observe et </w:t>
      </w:r>
      <w:r w:rsidDel="00000000" w:rsidR="00000000" w:rsidRPr="00000000">
        <w:rPr>
          <w:sz w:val="34"/>
          <w:szCs w:val="34"/>
          <w:rtl w:val="0"/>
        </w:rPr>
        <w:t xml:space="preserve">note</w:t>
      </w:r>
      <w:r w:rsidDel="00000000" w:rsidR="00000000" w:rsidRPr="00000000">
        <w:rPr>
          <w:sz w:val="34"/>
          <w:szCs w:val="34"/>
          <w:rtl w:val="0"/>
        </w:rPr>
        <w:t xml:space="preserve"> la couleur du papier de pH que tu </w:t>
      </w:r>
      <w:r w:rsidDel="00000000" w:rsidR="00000000" w:rsidRPr="00000000">
        <w:rPr>
          <w:sz w:val="34"/>
          <w:szCs w:val="34"/>
          <w:rtl w:val="0"/>
        </w:rPr>
        <w:t xml:space="preserve">a </w:t>
      </w:r>
      <w:r w:rsidDel="00000000" w:rsidR="00000000" w:rsidRPr="00000000">
        <w:rPr>
          <w:sz w:val="34"/>
          <w:szCs w:val="34"/>
          <w:rtl w:val="0"/>
        </w:rPr>
        <w:t xml:space="preserve">metter</w:t>
      </w:r>
      <w:r w:rsidDel="00000000" w:rsidR="00000000" w:rsidRPr="00000000">
        <w:rPr>
          <w:sz w:val="34"/>
          <w:szCs w:val="34"/>
          <w:rtl w:val="0"/>
        </w:rPr>
        <w:t xml:space="preserve"> dans chaque jus.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Noter les résultats dans les tableaux.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Répéter 2 autres fois l’expérience et noter les résultats chaque fois.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Analyser les résultats.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Faire une conclusion (Déterminer lequel des fruits est le plus acide).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sz w:val="34"/>
          <w:szCs w:val="34"/>
          <w:rtl w:val="0"/>
        </w:rPr>
        <w:t xml:space="preserve">Faire des recommandations.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sz w:val="34"/>
          <w:szCs w:val="34"/>
          <w:rtl w:val="0"/>
        </w:rPr>
        <w:t xml:space="preserve">​</w:t>
      </w:r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139700" cy="139700"/>
            <wp:effectExtent b="0" l="0" r="0" t="0"/>
            <wp:docPr descr="Click and drag to move" id="1" name="image1.gif"/>
            <a:graphic>
              <a:graphicData uri="http://schemas.openxmlformats.org/drawingml/2006/picture">
                <pic:pic>
                  <pic:nvPicPr>
                    <pic:cNvPr descr="Click and drag to move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​Observations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8"/>
          <w:szCs w:val="38"/>
        </w:rPr>
      </w:pPr>
      <w:bookmarkStart w:colFirst="0" w:colLast="0" w:name="_nep75h88s5t1" w:id="3"/>
      <w:bookmarkEnd w:id="3"/>
      <w:r w:rsidDel="00000000" w:rsidR="00000000" w:rsidRPr="00000000">
        <w:rPr>
          <w:b w:val="1"/>
          <w:sz w:val="38"/>
          <w:szCs w:val="38"/>
          <w:rtl w:val="0"/>
        </w:rPr>
        <w:t xml:space="preserve">Voici ce que nous avons observé après trois essais: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sz w:val="34"/>
          <w:szCs w:val="34"/>
          <w:rtl w:val="0"/>
        </w:rPr>
        <w:t xml:space="preserve"> </w:t>
        <w:tab/>
        <w:br w:type="textWrapping"/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 la pomme, il a pris une couleur orange pâle.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 l’orange, il a pris la couleur orange.</w:t>
      </w:r>
    </w:p>
    <w:p w:rsidR="00000000" w:rsidDel="00000000" w:rsidP="00000000" w:rsidRDefault="00000000" w:rsidRPr="00000000" w14:paraId="00000036">
      <w:pPr>
        <w:spacing w:after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des fraises, il a pris la couleur orange.</w:t>
      </w:r>
    </w:p>
    <w:p w:rsidR="00000000" w:rsidDel="00000000" w:rsidP="00000000" w:rsidRDefault="00000000" w:rsidRPr="00000000" w14:paraId="00000037">
      <w:pPr>
        <w:spacing w:after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 raisin, il a pris une couleur orange.</w:t>
      </w:r>
    </w:p>
    <w:p w:rsidR="00000000" w:rsidDel="00000000" w:rsidP="00000000" w:rsidRDefault="00000000" w:rsidRPr="00000000" w14:paraId="00000038">
      <w:pPr>
        <w:spacing w:after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 pêche, il a pris une couleur orange pâle.</w:t>
      </w:r>
    </w:p>
    <w:p w:rsidR="00000000" w:rsidDel="00000000" w:rsidP="00000000" w:rsidRDefault="00000000" w:rsidRPr="00000000" w14:paraId="00000039">
      <w:pPr>
        <w:spacing w:after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Quand nous avons introduit le papier pH dans le jus extrait de la banane, il a pris la couleur jaune.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sz w:val="34"/>
          <w:szCs w:val="34"/>
          <w:rtl w:val="0"/>
        </w:rPr>
        <w:t xml:space="preserve">Quand nous avons introduit le papier pH dans le jus extrait du melon, il a pris la couleur jaune</w:t>
      </w:r>
      <w:r w:rsidDel="00000000" w:rsidR="00000000" w:rsidRPr="00000000">
        <w:rPr>
          <w:b w:val="1"/>
          <w:sz w:val="34"/>
          <w:szCs w:val="3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jc w:val="center"/>
        <w:rPr>
          <w:rFonts w:ascii="Roboto" w:cs="Roboto" w:eastAsia="Roboto" w:hAnsi="Roboto"/>
          <w:b w:val="1"/>
          <w:sz w:val="38"/>
          <w:szCs w:val="38"/>
          <w:u w:val="single"/>
        </w:rPr>
      </w:pPr>
      <w:bookmarkStart w:colFirst="0" w:colLast="0" w:name="_l2nib2oboj2e" w:id="4"/>
      <w:bookmarkEnd w:id="4"/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u w:val="single"/>
          <w:rtl w:val="0"/>
        </w:rPr>
        <w:t xml:space="preserve">Conclusion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Roboto" w:cs="Roboto" w:eastAsia="Roboto" w:hAnsi="Roboto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Notre hypothèse selon laquelle l'orange était le fruit le plus acide que les autres fruits testés était fausse.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Les résultats de nos expériences ont montré que les fraises, raisins et l’orange sont les fruits les plus acides avec des pH d'environ 4.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Roboto" w:cs="Roboto" w:eastAsia="Roboto" w:hAnsi="Roboto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Ces fruits ne sont pas recommandés aux personnes qui souffrent de maux d’estomac.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Roboto" w:cs="Roboto" w:eastAsia="Roboto" w:hAnsi="Roboto"/>
          <w:b w:val="1"/>
          <w:sz w:val="38"/>
          <w:szCs w:val="3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u w:val="single"/>
          <w:rtl w:val="0"/>
        </w:rPr>
        <w:t xml:space="preserve">Application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Le Ph permet de savoir si une chose est acide, basique ou neutre.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L’eau pure est neutre.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Si une solution à un Ph inférieur à 7, cette solution est considérée comme acide.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Les acides ont généralement un goût piquant.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240" w:lineRule="auto"/>
        <w:ind w:left="720" w:hanging="36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Tous les fruits testés (pomme, melon d’eau, orange, fraise, raisin, pêche, et banane) ont tous un Ph inférieur à 7. Ils sont donc tous acides.</w:t>
      </w:r>
    </w:p>
    <w:p w:rsidR="00000000" w:rsidDel="00000000" w:rsidP="00000000" w:rsidRDefault="00000000" w:rsidRPr="00000000" w14:paraId="00000047">
      <w:pPr>
        <w:spacing w:after="240" w:before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40" w:before="240" w:lineRule="auto"/>
        <w:ind w:left="720" w:hanging="36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L'oranges,</w:t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 les fraises et les raisins sont les plus acides des fruits testés.</w:t>
      </w:r>
    </w:p>
    <w:p w:rsidR="00000000" w:rsidDel="00000000" w:rsidP="00000000" w:rsidRDefault="00000000" w:rsidRPr="00000000" w14:paraId="00000049">
      <w:pPr>
        <w:spacing w:after="240" w:before="240" w:lineRule="auto"/>
        <w:ind w:left="72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240" w:before="240" w:lineRule="auto"/>
        <w:ind w:left="720" w:hanging="36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Tout ce qui est très acide n’est </w:t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toujours</w:t>
      </w: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 bon pour la santé.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ind w:left="720" w:firstLine="0"/>
        <w:jc w:val="center"/>
        <w:rPr>
          <w:rFonts w:ascii="Roboto" w:cs="Roboto" w:eastAsia="Roboto" w:hAnsi="Roboto"/>
          <w:b w:val="1"/>
          <w:sz w:val="38"/>
          <w:szCs w:val="3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Roboto" w:cs="Roboto" w:eastAsia="Roboto" w:hAnsi="Roboto"/>
          <w:sz w:val="36"/>
          <w:szCs w:val="36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color w:val="9b59b6"/>
            <w:sz w:val="34"/>
            <w:szCs w:val="34"/>
            <w:u w:val="single"/>
            <w:rtl w:val="0"/>
          </w:rPr>
          <w:t xml:space="preserve">https://www.journalacces.ca/fruits-acides-semi-acides-doux/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36"/>
          <w:szCs w:val="36"/>
        </w:rPr>
      </w:pPr>
      <w:hyperlink r:id="rId8">
        <w:r w:rsidDel="00000000" w:rsidR="00000000" w:rsidRPr="00000000">
          <w:rPr>
            <w:rFonts w:ascii="Roboto" w:cs="Roboto" w:eastAsia="Roboto" w:hAnsi="Roboto"/>
            <w:b w:val="1"/>
            <w:color w:val="9b59b6"/>
            <w:sz w:val="34"/>
            <w:szCs w:val="34"/>
            <w:u w:val="single"/>
            <w:rtl w:val="0"/>
          </w:rPr>
          <w:t xml:space="preserve">https://www.passeportsante.net/fr/Actualites/Dossiers/DossierComplexe.aspx?doc=10-aliments-eviter-malade-les-aliments-acides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Roboto" w:cs="Roboto" w:eastAsia="Roboto" w:hAnsi="Roboto"/>
          <w:sz w:val="36"/>
          <w:szCs w:val="36"/>
        </w:rPr>
      </w:pPr>
      <w:hyperlink r:id="rId9">
        <w:r w:rsidDel="00000000" w:rsidR="00000000" w:rsidRPr="00000000">
          <w:rPr>
            <w:rFonts w:ascii="Roboto" w:cs="Roboto" w:eastAsia="Roboto" w:hAnsi="Roboto"/>
            <w:b w:val="1"/>
            <w:color w:val="9b59b6"/>
            <w:sz w:val="34"/>
            <w:szCs w:val="34"/>
            <w:u w:val="single"/>
            <w:rtl w:val="0"/>
          </w:rPr>
          <w:t xml:space="preserve">https://ici.radio-canada.ca/premiere/emissions/les-eclaireurs/segments/chronique/120086/dents-sante-dentition-aliments-acides-acidite-sucre-bouche-salive-pomme-fromage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ind w:left="72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Rule="auto"/>
        <w:ind w:left="0" w:firstLine="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before="0" w:line="288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w5iwsarm4fq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before="0" w:line="288" w:lineRule="auto"/>
        <w:rPr>
          <w:rFonts w:ascii="Roboto" w:cs="Roboto" w:eastAsia="Roboto" w:hAnsi="Roboto"/>
          <w:sz w:val="34"/>
          <w:szCs w:val="34"/>
        </w:rPr>
      </w:pPr>
      <w:bookmarkStart w:colFirst="0" w:colLast="0" w:name="_w5iwsarm4fqd" w:id="5"/>
      <w:bookmarkEnd w:id="5"/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sz w:val="34"/>
          <w:szCs w:val="34"/>
          <w:rtl w:val="0"/>
        </w:rPr>
        <w:t xml:space="preserve"> </w:t>
        <w:tab/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i.radio-canada.ca/premiere/emissions/les-eclaireurs/segments/chronique/120086/dents-sante-dentition-aliments-acides-acidite-sucre-bouche-salive-pomme-fromage" TargetMode="Externa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www.journalacces.ca/fruits-acides-semi-acides-doux/" TargetMode="External"/><Relationship Id="rId8" Type="http://schemas.openxmlformats.org/officeDocument/2006/relationships/hyperlink" Target="https://www.passeportsante.net/fr/Actualites/Dossiers/DossierComplexe.aspx?doc=10-aliments-eviter-malade-les-aliments-acid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